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544D" w14:textId="77777777" w:rsidR="00AA6E2D" w:rsidRDefault="0006480B">
      <w:pPr>
        <w:pStyle w:val="NormalWeb"/>
        <w:spacing w:before="0" w:after="0" w:line="360" w:lineRule="auto"/>
        <w:jc w:val="right"/>
      </w:pPr>
      <w:r>
        <w:rPr>
          <w:rFonts w:ascii="Arial" w:hAnsi="Arial" w:cs="Arial"/>
          <w:sz w:val="22"/>
          <w:szCs w:val="22"/>
          <w:shd w:val="clear" w:color="auto" w:fill="FFFFFF"/>
        </w:rPr>
        <w:t>Goiânia, 19 de março 2019.</w:t>
      </w:r>
    </w:p>
    <w:p w14:paraId="447CF7D9" w14:textId="77777777" w:rsidR="00AA6E2D" w:rsidRDefault="00AA6E2D">
      <w:pPr>
        <w:rPr>
          <w:rFonts w:ascii="Arial" w:hAnsi="Arial"/>
          <w:shd w:val="clear" w:color="auto" w:fill="FFFF00"/>
        </w:rPr>
      </w:pPr>
    </w:p>
    <w:p w14:paraId="093D0C90" w14:textId="77777777" w:rsidR="0006480B" w:rsidRPr="0006480B" w:rsidRDefault="0006480B" w:rsidP="0006480B">
      <w:pPr>
        <w:jc w:val="center"/>
        <w:rPr>
          <w:b/>
          <w:bCs/>
          <w:sz w:val="28"/>
          <w:szCs w:val="28"/>
        </w:rPr>
      </w:pPr>
      <w:r w:rsidRPr="0006480B">
        <w:rPr>
          <w:b/>
          <w:bCs/>
          <w:sz w:val="28"/>
          <w:szCs w:val="28"/>
        </w:rPr>
        <w:t>RELATÓRIO DE PRODUÇÃO E INDICADORES - HEMOGO</w:t>
      </w:r>
    </w:p>
    <w:p w14:paraId="0617A3CB" w14:textId="77777777" w:rsidR="0006480B" w:rsidRDefault="0006480B">
      <w:pPr>
        <w:spacing w:after="0" w:line="240" w:lineRule="auto"/>
        <w:jc w:val="both"/>
        <w:rPr>
          <w:rFonts w:ascii="Arial" w:hAnsi="Arial"/>
          <w:b/>
          <w:bCs/>
        </w:rPr>
      </w:pPr>
    </w:p>
    <w:p w14:paraId="53F34E0E" w14:textId="77777777" w:rsidR="0006480B" w:rsidRDefault="0006480B">
      <w:pPr>
        <w:spacing w:after="0" w:line="240" w:lineRule="auto"/>
        <w:jc w:val="both"/>
        <w:rPr>
          <w:rFonts w:ascii="Arial" w:hAnsi="Arial"/>
          <w:b/>
          <w:bCs/>
        </w:rPr>
      </w:pPr>
    </w:p>
    <w:p w14:paraId="3806487A" w14:textId="77777777" w:rsidR="00AA6E2D" w:rsidRDefault="0006480B">
      <w:pPr>
        <w:spacing w:after="0" w:line="240" w:lineRule="auto"/>
        <w:jc w:val="both"/>
      </w:pPr>
      <w:r>
        <w:rPr>
          <w:rFonts w:ascii="Arial" w:hAnsi="Arial"/>
          <w:b/>
          <w:bCs/>
        </w:rPr>
        <w:t xml:space="preserve">QUADRO I – Comparativo entre Metas e Produção das Unidades da </w:t>
      </w:r>
      <w:proofErr w:type="spellStart"/>
      <w:r>
        <w:rPr>
          <w:rFonts w:ascii="Arial" w:hAnsi="Arial"/>
          <w:b/>
          <w:bCs/>
        </w:rPr>
        <w:t>Hemorrede</w:t>
      </w:r>
      <w:proofErr w:type="spellEnd"/>
      <w:r>
        <w:rPr>
          <w:rFonts w:ascii="Arial" w:hAnsi="Arial"/>
          <w:b/>
          <w:bCs/>
        </w:rPr>
        <w:t xml:space="preserve"> de Goiás sob gerência do IDTECH (Hemocentro Coordenador, Hemocentros Regionais </w:t>
      </w:r>
      <w:r>
        <w:rPr>
          <w:rFonts w:ascii="Arial" w:hAnsi="Arial"/>
          <w:b/>
          <w:bCs/>
        </w:rPr>
        <w:t>- Catalão, Ceres, Jataí, Rio Verde e Unidades de Coleta e Transfusão - Formosa, Iporá, Porangatu e Quirinópolis), no período de 01 a 28/02/2019, Goiânia-GO.</w:t>
      </w:r>
    </w:p>
    <w:p w14:paraId="64173E8B" w14:textId="77777777" w:rsidR="00AA6E2D" w:rsidRDefault="00AA6E2D">
      <w:pPr>
        <w:spacing w:after="0" w:line="240" w:lineRule="auto"/>
        <w:jc w:val="both"/>
        <w:rPr>
          <w:rFonts w:ascii="Arial" w:hAnsi="Arial"/>
        </w:rPr>
      </w:pPr>
    </w:p>
    <w:tbl>
      <w:tblPr>
        <w:tblW w:w="99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743"/>
        <w:gridCol w:w="3786"/>
        <w:gridCol w:w="1414"/>
        <w:gridCol w:w="165"/>
        <w:gridCol w:w="997"/>
        <w:gridCol w:w="267"/>
      </w:tblGrid>
      <w:tr w:rsidR="00AA6E2D" w14:paraId="7AD2EF02" w14:textId="77777777">
        <w:trPr>
          <w:trHeight w:val="300"/>
          <w:jc w:val="center"/>
        </w:trPr>
        <w:tc>
          <w:tcPr>
            <w:tcW w:w="99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C74C9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Informações de Produção</w:t>
            </w:r>
          </w:p>
        </w:tc>
      </w:tr>
      <w:tr w:rsidR="00AA6E2D" w14:paraId="00F6489C" w14:textId="77777777">
        <w:trPr>
          <w:trHeight w:val="300"/>
          <w:jc w:val="center"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282720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45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1B2CA" w14:textId="77777777" w:rsidR="00AA6E2D" w:rsidRDefault="0006480B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78E4EA1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07425FF3" w14:textId="77777777">
        <w:trPr>
          <w:trHeight w:val="300"/>
          <w:jc w:val="center"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34C35B5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452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51A9A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7CA4D9D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04C0D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</w:tr>
      <w:tr w:rsidR="00AA6E2D" w14:paraId="76907413" w14:textId="77777777">
        <w:trPr>
          <w:trHeight w:val="300"/>
          <w:jc w:val="center"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8679CD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Internação </w:t>
            </w: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(leito/dia)</w:t>
            </w:r>
          </w:p>
        </w:tc>
        <w:tc>
          <w:tcPr>
            <w:tcW w:w="4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96482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Clínica Hematológica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91BF1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93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5CDCD4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154</w:t>
            </w:r>
          </w:p>
        </w:tc>
      </w:tr>
      <w:tr w:rsidR="00AA6E2D" w14:paraId="50288299" w14:textId="77777777">
        <w:trPr>
          <w:trHeight w:val="300"/>
          <w:jc w:val="center"/>
        </w:trPr>
        <w:tc>
          <w:tcPr>
            <w:tcW w:w="2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EC1EC8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Assistência Ambulatorial/ Atendimento Ambulatorial</w:t>
            </w:r>
          </w:p>
        </w:tc>
        <w:tc>
          <w:tcPr>
            <w:tcW w:w="4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C8337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Consultas Médicas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28BFA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480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A0DC18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547</w:t>
            </w:r>
          </w:p>
        </w:tc>
      </w:tr>
      <w:tr w:rsidR="00AA6E2D" w14:paraId="54823963" w14:textId="77777777">
        <w:trPr>
          <w:trHeight w:val="300"/>
          <w:jc w:val="center"/>
        </w:trPr>
        <w:tc>
          <w:tcPr>
            <w:tcW w:w="2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27076A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45390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Consultas Não Médicas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67DE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800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E9B2EE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729</w:t>
            </w:r>
          </w:p>
        </w:tc>
      </w:tr>
      <w:tr w:rsidR="00AA6E2D" w14:paraId="14560C72" w14:textId="77777777">
        <w:trPr>
          <w:trHeight w:hRule="exact" w:val="23"/>
          <w:jc w:val="center"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E07E82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1F827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79A91D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9992B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557D7515" w14:textId="77777777">
        <w:trPr>
          <w:trHeight w:val="600"/>
          <w:jc w:val="center"/>
        </w:trPr>
        <w:tc>
          <w:tcPr>
            <w:tcW w:w="99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42834C6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Assistência Laboratorial e Hemoterápica</w:t>
            </w:r>
          </w:p>
        </w:tc>
      </w:tr>
      <w:tr w:rsidR="00AA6E2D" w14:paraId="5D44F43F" w14:textId="77777777">
        <w:trPr>
          <w:trHeight w:val="300"/>
          <w:jc w:val="center"/>
        </w:trPr>
        <w:tc>
          <w:tcPr>
            <w:tcW w:w="3299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90188B6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78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E67F0A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14:paraId="57A48310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46076D86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5B0342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98C3CE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9CA4F4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710CDF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</w:tr>
      <w:tr w:rsidR="00AA6E2D" w14:paraId="359B1E2A" w14:textId="77777777">
        <w:trPr>
          <w:trHeight w:val="600"/>
          <w:jc w:val="center"/>
        </w:trPr>
        <w:tc>
          <w:tcPr>
            <w:tcW w:w="3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6019576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Triagem Clínica de Doador - Candidatos à doação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CF89F0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Triagem Clínica de doadores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EB8D43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4.048</w:t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70B58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4.645</w:t>
            </w:r>
          </w:p>
        </w:tc>
      </w:tr>
      <w:tr w:rsidR="00AA6E2D" w14:paraId="7DE59CF9" w14:textId="77777777">
        <w:trPr>
          <w:trHeight w:val="600"/>
          <w:jc w:val="center"/>
        </w:trPr>
        <w:tc>
          <w:tcPr>
            <w:tcW w:w="3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AE0FA04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Coleta de sangue de doadores aptos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42D3E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Coleta de sangue para transfusão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3A8696F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3.104</w:t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18CDC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3.574</w:t>
            </w:r>
          </w:p>
        </w:tc>
      </w:tr>
      <w:tr w:rsidR="00AA6E2D" w14:paraId="4F8785C9" w14:textId="77777777">
        <w:trPr>
          <w:trHeight w:val="600"/>
          <w:jc w:val="center"/>
        </w:trPr>
        <w:tc>
          <w:tcPr>
            <w:tcW w:w="3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CC4007A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Plaquetaférese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-Doador de plaquetas por aférese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534A9F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Coleta de sangue para </w:t>
            </w: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com processadora automática - aférese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4628ACE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53</w:t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3E0E5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00</w:t>
            </w:r>
          </w:p>
        </w:tc>
      </w:tr>
      <w:tr w:rsidR="00AA6E2D" w14:paraId="436B3FF6" w14:textId="77777777">
        <w:trPr>
          <w:trHeight w:val="600"/>
          <w:jc w:val="center"/>
        </w:trPr>
        <w:tc>
          <w:tcPr>
            <w:tcW w:w="3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D244CA2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Produção de Hemocomponentes - MAC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9CA9D0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Processamento/fracionamento de sangue total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B4490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6.880</w:t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22466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6.752</w:t>
            </w:r>
          </w:p>
        </w:tc>
      </w:tr>
      <w:tr w:rsidR="00AA6E2D" w14:paraId="30EC72A2" w14:textId="77777777">
        <w:trPr>
          <w:trHeight w:hRule="exact" w:val="23"/>
          <w:jc w:val="center"/>
        </w:trPr>
        <w:tc>
          <w:tcPr>
            <w:tcW w:w="3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4819138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ACC471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91E9B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80E61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0894BA2B" w14:textId="77777777">
        <w:trPr>
          <w:trHeight w:val="300"/>
          <w:jc w:val="center"/>
        </w:trPr>
        <w:tc>
          <w:tcPr>
            <w:tcW w:w="3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9F6910E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Procedimentos especiais - MAC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7CEF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3C47A1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4A95088B" w14:textId="77777777">
        <w:trPr>
          <w:trHeight w:val="6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CB6C376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75566B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Coleta para exames de </w:t>
            </w: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histocompatibilidade (medula óssea)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10477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233</w:t>
            </w:r>
          </w:p>
        </w:tc>
      </w:tr>
      <w:tr w:rsidR="00AA6E2D" w14:paraId="76085DC4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75A8FE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E0F2B7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Deleucotização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concentrado de hemácias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C132B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273</w:t>
            </w:r>
          </w:p>
        </w:tc>
      </w:tr>
      <w:tr w:rsidR="00AA6E2D" w14:paraId="4BCBF868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A021FDD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8D3E45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Deleucotização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concentrado de plaquetas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9AC6DE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108</w:t>
            </w:r>
          </w:p>
        </w:tc>
      </w:tr>
      <w:tr w:rsidR="00AA6E2D" w14:paraId="30B234BB" w14:textId="77777777">
        <w:trPr>
          <w:trHeight w:val="6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B058BBD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CEC952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Identificação de anticorpos séricos irregulares com painel de hemácias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0E2BC6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11</w:t>
            </w:r>
          </w:p>
        </w:tc>
      </w:tr>
      <w:tr w:rsidR="00AA6E2D" w14:paraId="0582C821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9DAFB1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9F743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ascii="Arial" w:eastAsia="Times New Roman" w:hAnsi="Arial" w:cs="Times New Roman"/>
                <w:lang w:eastAsia="pt-BR"/>
              </w:rPr>
              <w:t>Irradiação de sangue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F96A3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100</w:t>
            </w:r>
          </w:p>
        </w:tc>
      </w:tr>
      <w:tr w:rsidR="00AA6E2D" w14:paraId="45E24F42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445676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B59063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70DD30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5.136</w:t>
            </w:r>
          </w:p>
        </w:tc>
      </w:tr>
      <w:tr w:rsidR="00AA6E2D" w14:paraId="564B4FF0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6076222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C6CF2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C5B66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725</w:t>
            </w:r>
          </w:p>
        </w:tc>
      </w:tr>
      <w:tr w:rsidR="00AA6E2D" w14:paraId="70721F7D" w14:textId="77777777">
        <w:trPr>
          <w:trHeight w:hRule="exact" w:val="23"/>
          <w:jc w:val="center"/>
        </w:trPr>
        <w:tc>
          <w:tcPr>
            <w:tcW w:w="329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469C01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BA8D6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E8BE62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DC889F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0BE4C7EB" w14:textId="77777777">
        <w:trPr>
          <w:trHeight w:val="300"/>
          <w:jc w:val="center"/>
        </w:trPr>
        <w:tc>
          <w:tcPr>
            <w:tcW w:w="3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2EF58B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Exames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Imunohematológicos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- MAC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8ECE81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95121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169E47E7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2D62CA1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B0769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Pesquisa de hemoglobina S </w:t>
            </w: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lastRenderedPageBreak/>
              <w:t>(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Hemogo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HRs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UCTs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)</w:t>
            </w:r>
          </w:p>
        </w:tc>
        <w:tc>
          <w:tcPr>
            <w:tcW w:w="284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03D828B5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lastRenderedPageBreak/>
              <w:t>5.342</w:t>
            </w:r>
          </w:p>
        </w:tc>
      </w:tr>
      <w:tr w:rsidR="00AA6E2D" w14:paraId="2D1879AB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1391979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30569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Pesquisa de hemoglobina S (HUGOL e HC)</w:t>
            </w:r>
          </w:p>
        </w:tc>
        <w:tc>
          <w:tcPr>
            <w:tcW w:w="284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434771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137F54B1" w14:textId="77777777">
        <w:trPr>
          <w:trHeight w:val="6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F0050C4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27392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Exames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imunohematológicos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doadores (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Hemogo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,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HRs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UCTs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)</w:t>
            </w:r>
          </w:p>
        </w:tc>
        <w:tc>
          <w:tcPr>
            <w:tcW w:w="284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7DC89815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5.418</w:t>
            </w:r>
          </w:p>
        </w:tc>
      </w:tr>
      <w:tr w:rsidR="00AA6E2D" w14:paraId="41D649C7" w14:textId="77777777">
        <w:trPr>
          <w:trHeight w:val="6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6E0D5E8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7AE352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Exames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imunohematológicos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doadores (HUGOL e HC))</w:t>
            </w:r>
          </w:p>
        </w:tc>
        <w:tc>
          <w:tcPr>
            <w:tcW w:w="284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6FA9E9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4127A8F8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D933FA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BF21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Fenotipagem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de sistema Rh -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Hr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3F269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378</w:t>
            </w:r>
          </w:p>
        </w:tc>
      </w:tr>
      <w:tr w:rsidR="00AA6E2D" w14:paraId="03D6FEAF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98A11A1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317AB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Teste 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fenotipagem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K, FYA, JYA, JKB em gel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FCE3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00</w:t>
            </w:r>
          </w:p>
        </w:tc>
      </w:tr>
      <w:tr w:rsidR="00AA6E2D" w14:paraId="63193F3E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F525DC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BA6227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546E54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8.688</w:t>
            </w:r>
          </w:p>
        </w:tc>
      </w:tr>
      <w:tr w:rsidR="00AA6E2D" w14:paraId="3D285560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9C063D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A82E66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08C98A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11.138</w:t>
            </w:r>
          </w:p>
        </w:tc>
      </w:tr>
      <w:tr w:rsidR="00AA6E2D" w14:paraId="754566F1" w14:textId="77777777">
        <w:trPr>
          <w:trHeight w:hRule="exact" w:val="23"/>
          <w:jc w:val="center"/>
        </w:trPr>
        <w:tc>
          <w:tcPr>
            <w:tcW w:w="3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F601E17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6F2682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50E04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975931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5845DA65" w14:textId="77777777">
        <w:trPr>
          <w:trHeight w:val="300"/>
          <w:jc w:val="center"/>
        </w:trPr>
        <w:tc>
          <w:tcPr>
            <w:tcW w:w="3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8B29F5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Exames sorológicos - MAC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55FF7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CF56E8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2FDA2385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AD845E9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EC0BB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Sorologia I e II de </w:t>
            </w: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doador HEMOGO, HR 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UCTs</w:t>
            </w:r>
            <w:proofErr w:type="spellEnd"/>
          </w:p>
        </w:tc>
        <w:tc>
          <w:tcPr>
            <w:tcW w:w="2841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9348B8B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eastAsia="Times New Roman" w:cs="Times New Roman"/>
                <w:color w:val="000000"/>
                <w:lang w:eastAsia="pt-BR"/>
              </w:rPr>
              <w:t>5.543</w:t>
            </w:r>
          </w:p>
        </w:tc>
      </w:tr>
      <w:tr w:rsidR="00AA6E2D" w14:paraId="7B22B691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E917EDB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BC73B9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Sorologia I e II de doador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UCTs</w:t>
            </w:r>
            <w:proofErr w:type="spellEnd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 HUGOL e HC</w:t>
            </w:r>
          </w:p>
        </w:tc>
        <w:tc>
          <w:tcPr>
            <w:tcW w:w="2841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B043B7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pt-BR"/>
              </w:rPr>
            </w:pPr>
          </w:p>
        </w:tc>
      </w:tr>
      <w:tr w:rsidR="00AA6E2D" w14:paraId="402789C2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C2D8E0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7017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0D27B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4.024</w:t>
            </w:r>
          </w:p>
        </w:tc>
      </w:tr>
      <w:tr w:rsidR="00AA6E2D" w14:paraId="08D46A01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7DC9F7C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DF20E0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D207F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5.543</w:t>
            </w:r>
          </w:p>
        </w:tc>
      </w:tr>
      <w:tr w:rsidR="00AA6E2D" w14:paraId="6BA43F63" w14:textId="77777777">
        <w:trPr>
          <w:trHeight w:hRule="exact" w:val="23"/>
          <w:jc w:val="center"/>
        </w:trPr>
        <w:tc>
          <w:tcPr>
            <w:tcW w:w="3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F34EE0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5CF27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88D499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0CBB9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01D30D82" w14:textId="77777777">
        <w:trPr>
          <w:trHeight w:val="300"/>
          <w:jc w:val="center"/>
        </w:trPr>
        <w:tc>
          <w:tcPr>
            <w:tcW w:w="3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20A83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Exames hematológicos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2D59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91337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0BF432C4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8B9F69E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36BC55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Dosagem de Fator IX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E3C473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08</w:t>
            </w:r>
          </w:p>
        </w:tc>
      </w:tr>
      <w:tr w:rsidR="00AA6E2D" w14:paraId="19826326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24C4B84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F9D747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Dosagem de Fator VIII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48DD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08</w:t>
            </w:r>
          </w:p>
        </w:tc>
      </w:tr>
      <w:tr w:rsidR="00AA6E2D" w14:paraId="440A9874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A226DD0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DBA991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Dosagem de fibrinogênio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4F3D1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08</w:t>
            </w:r>
          </w:p>
        </w:tc>
      </w:tr>
      <w:tr w:rsidR="00AA6E2D" w14:paraId="01900753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8779D2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596BC5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Dosagem de fator VIII (Inibidor)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882F6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08</w:t>
            </w:r>
          </w:p>
        </w:tc>
      </w:tr>
      <w:tr w:rsidR="00AA6E2D" w14:paraId="0BD71243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D759A67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10B14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Determinação de TTPA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2E34E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15</w:t>
            </w:r>
          </w:p>
        </w:tc>
      </w:tr>
      <w:tr w:rsidR="00AA6E2D" w14:paraId="27B52F92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E44F88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C0147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Determinação de TAP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59D7B7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24</w:t>
            </w:r>
          </w:p>
        </w:tc>
      </w:tr>
      <w:tr w:rsidR="00AA6E2D" w14:paraId="57A50380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CEEAE55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2D8D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Hemograma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62BA4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lang w:eastAsia="pt-BR"/>
              </w:rPr>
            </w:pPr>
            <w:r>
              <w:rPr>
                <w:rFonts w:eastAsia="Times New Roman" w:cs="Times New Roman"/>
                <w:lang w:eastAsia="pt-BR"/>
              </w:rPr>
              <w:t>00</w:t>
            </w:r>
          </w:p>
        </w:tc>
      </w:tr>
      <w:tr w:rsidR="00AA6E2D" w14:paraId="4C3421E2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08425EE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012E6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D1C9B6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>
              <w:rPr>
                <w:rFonts w:eastAsia="Times New Roman" w:cs="Times New Roman"/>
                <w:b/>
                <w:bCs/>
                <w:lang w:eastAsia="pt-BR"/>
              </w:rPr>
              <w:t>136</w:t>
            </w:r>
          </w:p>
        </w:tc>
      </w:tr>
      <w:tr w:rsidR="00AA6E2D" w14:paraId="53228F96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704C1FB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27CB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78412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>
              <w:rPr>
                <w:rFonts w:eastAsia="Times New Roman" w:cs="Times New Roman"/>
                <w:b/>
                <w:bCs/>
                <w:lang w:eastAsia="pt-BR"/>
              </w:rPr>
              <w:t>71</w:t>
            </w:r>
          </w:p>
        </w:tc>
      </w:tr>
      <w:tr w:rsidR="00AA6E2D" w14:paraId="60679B55" w14:textId="77777777">
        <w:trPr>
          <w:trHeight w:hRule="exact" w:val="23"/>
          <w:jc w:val="center"/>
        </w:trPr>
        <w:tc>
          <w:tcPr>
            <w:tcW w:w="3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EB60CE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EDAD95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28F296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EF4CF0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419673A8" w14:textId="77777777">
        <w:trPr>
          <w:trHeight w:val="300"/>
          <w:jc w:val="center"/>
        </w:trPr>
        <w:tc>
          <w:tcPr>
            <w:tcW w:w="3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1BEE75F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Ambulatório - MAC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BED2A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4DBF1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21B7F03E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DFDC55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147CB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Aplicação de fator de coagulação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01A8DC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105</w:t>
            </w:r>
          </w:p>
        </w:tc>
      </w:tr>
      <w:tr w:rsidR="00AA6E2D" w14:paraId="49B33ECC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88838CA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F7750D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Transfusão Concentrado de </w:t>
            </w: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Hemácias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23B22" w14:textId="77777777" w:rsidR="00AA6E2D" w:rsidRDefault="0006480B">
            <w:pPr>
              <w:spacing w:after="0" w:line="240" w:lineRule="auto"/>
              <w:ind w:left="-70" w:firstLine="70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328</w:t>
            </w:r>
          </w:p>
        </w:tc>
      </w:tr>
      <w:tr w:rsidR="00AA6E2D" w14:paraId="6C24F812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7D01D4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C2D8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Plaquetas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2B9CA3" w14:textId="77777777" w:rsidR="00AA6E2D" w:rsidRDefault="0006480B">
            <w:pPr>
              <w:spacing w:after="0" w:line="240" w:lineRule="auto"/>
              <w:jc w:val="center"/>
            </w:pPr>
            <w:r>
              <w:rPr>
                <w:color w:val="000000"/>
              </w:rPr>
              <w:t>03</w:t>
            </w:r>
          </w:p>
        </w:tc>
      </w:tr>
      <w:tr w:rsidR="00AA6E2D" w14:paraId="2B6826BE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14DC917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286F9F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Transfusão Concentrado 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Crioprecipitado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EC855" w14:textId="77777777" w:rsidR="00AA6E2D" w:rsidRDefault="0006480B">
            <w:pPr>
              <w:spacing w:after="0" w:line="240" w:lineRule="auto"/>
              <w:jc w:val="center"/>
            </w:pPr>
            <w:r>
              <w:rPr>
                <w:color w:val="000000"/>
              </w:rPr>
              <w:t>00</w:t>
            </w:r>
          </w:p>
        </w:tc>
      </w:tr>
      <w:tr w:rsidR="00AA6E2D" w14:paraId="24DA7BC5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A32249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72D7F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Plaquetas por aférese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95F52" w14:textId="77777777" w:rsidR="00AA6E2D" w:rsidRDefault="0006480B">
            <w:pPr>
              <w:spacing w:after="0" w:line="240" w:lineRule="auto"/>
              <w:jc w:val="center"/>
            </w:pPr>
            <w:r>
              <w:rPr>
                <w:color w:val="000000"/>
              </w:rPr>
              <w:t>00</w:t>
            </w:r>
          </w:p>
        </w:tc>
      </w:tr>
      <w:tr w:rsidR="00AA6E2D" w14:paraId="1D22C7F2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CCB0A22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0A4D3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Plasma Fresco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D010D6" w14:textId="77777777" w:rsidR="00AA6E2D" w:rsidRDefault="0006480B">
            <w:pPr>
              <w:spacing w:after="0" w:line="240" w:lineRule="auto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AA6E2D" w14:paraId="5DF3363A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5D5F76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2415D2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65FEF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>
              <w:rPr>
                <w:rFonts w:eastAsia="Times New Roman" w:cs="Times New Roman"/>
                <w:b/>
                <w:bCs/>
                <w:lang w:eastAsia="pt-BR"/>
              </w:rPr>
              <w:t>248</w:t>
            </w:r>
          </w:p>
        </w:tc>
      </w:tr>
      <w:tr w:rsidR="00AA6E2D" w14:paraId="04D591C7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6742982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69434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46FFF0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t-BR"/>
              </w:rPr>
            </w:pPr>
            <w:r>
              <w:rPr>
                <w:rFonts w:eastAsia="Times New Roman" w:cs="Times New Roman"/>
                <w:b/>
                <w:bCs/>
                <w:lang w:eastAsia="pt-BR"/>
              </w:rPr>
              <w:t>448</w:t>
            </w:r>
          </w:p>
        </w:tc>
      </w:tr>
      <w:tr w:rsidR="00AA6E2D" w14:paraId="02882538" w14:textId="77777777">
        <w:trPr>
          <w:trHeight w:hRule="exact" w:val="23"/>
          <w:jc w:val="center"/>
        </w:trPr>
        <w:tc>
          <w:tcPr>
            <w:tcW w:w="329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462EE0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8107F6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1B583C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4D6FA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3F7DF809" w14:textId="77777777">
        <w:trPr>
          <w:trHeight w:val="300"/>
          <w:jc w:val="center"/>
        </w:trPr>
        <w:tc>
          <w:tcPr>
            <w:tcW w:w="3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C087424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Metas de produção AIH </w:t>
            </w: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Hospitais</w:t>
            </w:r>
          </w:p>
        </w:tc>
        <w:tc>
          <w:tcPr>
            <w:tcW w:w="3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B5C55A9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4EF0F1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3796AFB7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EA14ABB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CBCE37D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0206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980222" w14:textId="77777777" w:rsidR="00AA6E2D" w:rsidRDefault="0006480B">
            <w:pPr>
              <w:spacing w:after="0" w:line="240" w:lineRule="auto"/>
              <w:ind w:left="-495" w:firstLine="495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</w:tr>
      <w:tr w:rsidR="00AA6E2D" w14:paraId="3F61A31F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DFBF65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E5D35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Aférese Terapêutica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0A9A16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04</w:t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C6240C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00</w:t>
            </w:r>
          </w:p>
        </w:tc>
      </w:tr>
      <w:tr w:rsidR="00AA6E2D" w14:paraId="36344B09" w14:textId="77777777">
        <w:trPr>
          <w:trHeight w:hRule="exact" w:val="23"/>
          <w:jc w:val="center"/>
        </w:trPr>
        <w:tc>
          <w:tcPr>
            <w:tcW w:w="32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FBBB009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CFF97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C63825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64B9AF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04638528" w14:textId="77777777">
        <w:trPr>
          <w:trHeight w:val="300"/>
          <w:jc w:val="center"/>
        </w:trPr>
        <w:tc>
          <w:tcPr>
            <w:tcW w:w="3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F2F77A8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lastRenderedPageBreak/>
              <w:t>Medicina Transfusional (Hospitalar)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0E2446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26CC4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79932A02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F7FCDC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AC8000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Preparo de hemocomponentes lavados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77868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05</w:t>
            </w:r>
          </w:p>
        </w:tc>
      </w:tr>
      <w:tr w:rsidR="00AA6E2D" w14:paraId="057710C5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DBF9513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C6C79A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Preparo de componentes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aliquotados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E446A6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156</w:t>
            </w:r>
          </w:p>
        </w:tc>
      </w:tr>
      <w:tr w:rsidR="00AA6E2D" w14:paraId="02DC7CC8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3CB0D77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D05509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Hemácias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B2D0F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2.087</w:t>
            </w:r>
          </w:p>
        </w:tc>
      </w:tr>
      <w:tr w:rsidR="00AA6E2D" w14:paraId="29F1A312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FABC073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02D3AB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Plaquetas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7F3A70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381</w:t>
            </w:r>
          </w:p>
        </w:tc>
      </w:tr>
      <w:tr w:rsidR="00AA6E2D" w14:paraId="1246FCF1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609AED9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59559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 xml:space="preserve">Transfusão Concentrado de </w:t>
            </w:r>
            <w:proofErr w:type="spellStart"/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Crioprecipitado</w:t>
            </w:r>
            <w:proofErr w:type="spellEnd"/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BF3AFF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38</w:t>
            </w:r>
          </w:p>
        </w:tc>
      </w:tr>
      <w:tr w:rsidR="00AA6E2D" w14:paraId="2EC10E82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86254C9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5B7570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Concentrado de Plaquetas por aférese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B54265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00</w:t>
            </w:r>
          </w:p>
        </w:tc>
      </w:tr>
      <w:tr w:rsidR="00AA6E2D" w14:paraId="1067D217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F5667C5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D7C289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Transfusão de Plasma Fresco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EF709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color w:val="000000"/>
                <w:lang w:eastAsia="pt-BR"/>
              </w:rPr>
              <w:t>328</w:t>
            </w:r>
          </w:p>
        </w:tc>
      </w:tr>
      <w:tr w:rsidR="00AA6E2D" w14:paraId="1883336D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9F36A35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E79C1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D19664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pt-BR"/>
              </w:rPr>
              <w:t>1.652</w:t>
            </w:r>
          </w:p>
        </w:tc>
      </w:tr>
      <w:tr w:rsidR="00AA6E2D" w14:paraId="4CB9AEA0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589FCE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79F6A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B8FD5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2.995</w:t>
            </w:r>
          </w:p>
        </w:tc>
      </w:tr>
      <w:tr w:rsidR="00AA6E2D" w14:paraId="03832CD4" w14:textId="77777777">
        <w:trPr>
          <w:trHeight w:hRule="exact" w:val="23"/>
          <w:jc w:val="center"/>
        </w:trPr>
        <w:tc>
          <w:tcPr>
            <w:tcW w:w="329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A6D1E93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A96D7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B97ABE" w14:textId="77777777" w:rsidR="00AA6E2D" w:rsidRDefault="00AA6E2D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68D30" w14:textId="77777777" w:rsidR="00AA6E2D" w:rsidRDefault="00AA6E2D">
            <w:pPr>
              <w:spacing w:after="0" w:line="240" w:lineRule="auto"/>
              <w:ind w:left="-495" w:firstLine="495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</w:tr>
      <w:tr w:rsidR="00AA6E2D" w14:paraId="08B04B2C" w14:textId="77777777">
        <w:trPr>
          <w:trHeight w:val="300"/>
          <w:jc w:val="center"/>
        </w:trPr>
        <w:tc>
          <w:tcPr>
            <w:tcW w:w="32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A5B71F1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Sorologia de possível doador de órgãos</w:t>
            </w:r>
          </w:p>
        </w:tc>
        <w:tc>
          <w:tcPr>
            <w:tcW w:w="3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12F1BD9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Procedimento</w:t>
            </w:r>
          </w:p>
        </w:tc>
        <w:tc>
          <w:tcPr>
            <w:tcW w:w="28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4BF986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Fevereiro/2019</w:t>
            </w:r>
          </w:p>
        </w:tc>
      </w:tr>
      <w:tr w:rsidR="00AA6E2D" w14:paraId="21E52AA1" w14:textId="77777777">
        <w:trPr>
          <w:trHeight w:val="3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E408C85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5BAEFC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4C18F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22D6B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lang w:eastAsia="pt-BR"/>
              </w:rPr>
              <w:t>Produção</w:t>
            </w:r>
          </w:p>
        </w:tc>
      </w:tr>
      <w:tr w:rsidR="00AA6E2D" w14:paraId="05E90FCF" w14:textId="77777777">
        <w:trPr>
          <w:trHeight w:val="600"/>
          <w:jc w:val="center"/>
        </w:trPr>
        <w:tc>
          <w:tcPr>
            <w:tcW w:w="329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A12FC6" w14:textId="77777777" w:rsidR="00AA6E2D" w:rsidRDefault="00AA6E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pt-BR"/>
              </w:rPr>
            </w:pP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2B9DA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000000"/>
                <w:lang w:eastAsia="pt-BR"/>
              </w:rPr>
              <w:t>Sorologia para doadores da Central de Transplantes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0A642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12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6DF15" w14:textId="77777777" w:rsidR="00AA6E2D" w:rsidRDefault="0006480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t-BR"/>
              </w:rPr>
              <w:t>06</w:t>
            </w:r>
          </w:p>
        </w:tc>
      </w:tr>
    </w:tbl>
    <w:p w14:paraId="5910303F" w14:textId="77777777" w:rsidR="00AA6E2D" w:rsidRDefault="00AA6E2D">
      <w:pPr>
        <w:ind w:firstLine="708"/>
        <w:jc w:val="both"/>
        <w:rPr>
          <w:rFonts w:ascii="Arial" w:hAnsi="Arial"/>
        </w:rPr>
      </w:pPr>
    </w:p>
    <w:p w14:paraId="5D17B5A1" w14:textId="77777777" w:rsidR="00AA6E2D" w:rsidRDefault="0006480B">
      <w:pPr>
        <w:pStyle w:val="PargrafodaLista"/>
        <w:numPr>
          <w:ilvl w:val="0"/>
          <w:numId w:val="4"/>
        </w:numPr>
        <w:spacing w:after="0"/>
      </w:pPr>
      <w:r>
        <w:rPr>
          <w:rFonts w:ascii="Arial" w:hAnsi="Arial"/>
          <w:b/>
        </w:rPr>
        <w:t>ANÁLISE DOS RESULTADOS DAS METAS – QUADRO I</w:t>
      </w:r>
    </w:p>
    <w:p w14:paraId="719FCC09" w14:textId="77777777" w:rsidR="00AA6E2D" w:rsidRDefault="00AA6E2D">
      <w:pPr>
        <w:spacing w:after="0"/>
        <w:rPr>
          <w:rFonts w:ascii="Arial" w:hAnsi="Arial"/>
          <w:b/>
        </w:rPr>
      </w:pPr>
    </w:p>
    <w:p w14:paraId="1A635A5A" w14:textId="77777777" w:rsidR="00AA6E2D" w:rsidRDefault="0006480B">
      <w:pPr>
        <w:spacing w:after="0"/>
        <w:ind w:firstLine="360"/>
        <w:jc w:val="both"/>
      </w:pPr>
      <w:r>
        <w:rPr>
          <w:rFonts w:ascii="Arial" w:hAnsi="Arial"/>
        </w:rPr>
        <w:t xml:space="preserve">Os resultados apresentados no Quadro I, </w:t>
      </w:r>
      <w:r>
        <w:rPr>
          <w:rFonts w:ascii="Arial" w:hAnsi="Arial"/>
        </w:rPr>
        <w:t xml:space="preserve">acima, referem-se à produção das unidades da </w:t>
      </w:r>
      <w:proofErr w:type="spellStart"/>
      <w:r>
        <w:rPr>
          <w:rFonts w:ascii="Arial" w:hAnsi="Arial"/>
        </w:rPr>
        <w:t>Hemorrede</w:t>
      </w:r>
      <w:proofErr w:type="spellEnd"/>
      <w:r>
        <w:rPr>
          <w:rFonts w:ascii="Arial" w:hAnsi="Arial"/>
        </w:rPr>
        <w:t xml:space="preserve"> sob gerência do IDTECH durante o mês de </w:t>
      </w:r>
      <w:proofErr w:type="gramStart"/>
      <w:r>
        <w:rPr>
          <w:rFonts w:ascii="Arial" w:hAnsi="Arial"/>
        </w:rPr>
        <w:t>Fevereiro</w:t>
      </w:r>
      <w:proofErr w:type="gramEnd"/>
      <w:r>
        <w:rPr>
          <w:rFonts w:ascii="Arial" w:hAnsi="Arial"/>
        </w:rPr>
        <w:t xml:space="preserve">/19 e têm como fonte o Sistema </w:t>
      </w:r>
      <w:proofErr w:type="spellStart"/>
      <w:r>
        <w:rPr>
          <w:rFonts w:ascii="Arial" w:hAnsi="Arial"/>
        </w:rPr>
        <w:t>Hemovida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Hemoinfo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Hemoprod</w:t>
      </w:r>
      <w:proofErr w:type="spellEnd"/>
      <w:r>
        <w:rPr>
          <w:rFonts w:ascii="Arial" w:hAnsi="Arial"/>
        </w:rPr>
        <w:t xml:space="preserve"> e os registros de realização de procedimentos existentes nessas unidades.</w:t>
      </w:r>
    </w:p>
    <w:p w14:paraId="708DE384" w14:textId="77777777" w:rsidR="00AA6E2D" w:rsidRDefault="00AA6E2D">
      <w:pPr>
        <w:spacing w:after="0"/>
        <w:ind w:firstLine="360"/>
        <w:jc w:val="both"/>
        <w:rPr>
          <w:rFonts w:ascii="Arial" w:hAnsi="Arial"/>
        </w:rPr>
      </w:pPr>
    </w:p>
    <w:p w14:paraId="0E5E4155" w14:textId="77777777" w:rsidR="00AA6E2D" w:rsidRDefault="0006480B">
      <w:pPr>
        <w:pStyle w:val="PargrafodaLista"/>
        <w:numPr>
          <w:ilvl w:val="0"/>
          <w:numId w:val="1"/>
        </w:numPr>
        <w:spacing w:after="0"/>
        <w:ind w:hanging="294"/>
        <w:jc w:val="both"/>
      </w:pPr>
      <w:r>
        <w:rPr>
          <w:rFonts w:ascii="Arial" w:hAnsi="Arial"/>
          <w:b/>
          <w:color w:val="000000"/>
        </w:rPr>
        <w:t xml:space="preserve">Internação Regime de Leito/dia: Clínica Hematológica (Meta atingida): </w:t>
      </w:r>
      <w:r>
        <w:rPr>
          <w:rFonts w:ascii="Arial" w:hAnsi="Arial"/>
          <w:color w:val="000000"/>
        </w:rPr>
        <w:t>Foram realizadas 154 internações, meta atingida de 165,59%.</w:t>
      </w:r>
    </w:p>
    <w:p w14:paraId="50FD0F74" w14:textId="77777777" w:rsidR="00AA6E2D" w:rsidRDefault="00AA6E2D">
      <w:pPr>
        <w:pStyle w:val="PargrafodaLista"/>
        <w:spacing w:after="0"/>
        <w:jc w:val="both"/>
        <w:rPr>
          <w:rFonts w:ascii="Arial" w:hAnsi="Arial"/>
          <w:color w:val="CC0000"/>
        </w:rPr>
      </w:pPr>
    </w:p>
    <w:p w14:paraId="1746AA1D" w14:textId="77777777" w:rsidR="00AA6E2D" w:rsidRDefault="0006480B">
      <w:pPr>
        <w:pStyle w:val="PargrafodaLista"/>
        <w:numPr>
          <w:ilvl w:val="0"/>
          <w:numId w:val="1"/>
        </w:numPr>
        <w:spacing w:after="0"/>
        <w:ind w:hanging="294"/>
        <w:jc w:val="both"/>
      </w:pPr>
      <w:r>
        <w:rPr>
          <w:rFonts w:ascii="Arial" w:hAnsi="Arial"/>
          <w:b/>
          <w:color w:val="000000"/>
        </w:rPr>
        <w:t xml:space="preserve">Assistência Ambulatorial </w:t>
      </w:r>
    </w:p>
    <w:p w14:paraId="0CF8CD44" w14:textId="77777777" w:rsidR="00AA6E2D" w:rsidRDefault="0006480B">
      <w:pPr>
        <w:pStyle w:val="PargrafodaLista"/>
        <w:spacing w:after="0"/>
        <w:ind w:hanging="294"/>
        <w:jc w:val="both"/>
      </w:pPr>
      <w:r>
        <w:rPr>
          <w:rFonts w:ascii="Arial" w:hAnsi="Arial"/>
          <w:b/>
          <w:color w:val="000000"/>
        </w:rPr>
        <w:t xml:space="preserve">2.1. Assistência Ambulatorial Médica (Meta atingida): </w:t>
      </w:r>
      <w:r>
        <w:rPr>
          <w:rFonts w:ascii="Arial" w:hAnsi="Arial"/>
          <w:color w:val="000000"/>
        </w:rPr>
        <w:t>Foram realizadas 547 consultas médicas.</w:t>
      </w:r>
    </w:p>
    <w:p w14:paraId="3FE75C0E" w14:textId="77777777" w:rsidR="00AA6E2D" w:rsidRDefault="0006480B">
      <w:pPr>
        <w:pStyle w:val="PargrafodaLista"/>
        <w:spacing w:after="0"/>
        <w:ind w:left="0"/>
        <w:jc w:val="both"/>
      </w:pPr>
      <w:r>
        <w:rPr>
          <w:rFonts w:ascii="Arial" w:hAnsi="Arial"/>
          <w:b/>
          <w:color w:val="000000"/>
        </w:rPr>
        <w:t xml:space="preserve">2.2. </w:t>
      </w:r>
      <w:r>
        <w:rPr>
          <w:rFonts w:ascii="Arial" w:hAnsi="Arial"/>
          <w:b/>
          <w:color w:val="000000"/>
        </w:rPr>
        <w:t>Assistência Ambulatorial Não Médica (Meta não atingida):</w:t>
      </w:r>
      <w:r>
        <w:rPr>
          <w:rFonts w:ascii="Arial" w:hAnsi="Arial"/>
          <w:color w:val="000000"/>
        </w:rPr>
        <w:t>Foram realizadas 729 consultas Não Médicas, alcançando 91,12% da meta estabelecida.</w:t>
      </w:r>
    </w:p>
    <w:p w14:paraId="29C36153" w14:textId="77777777" w:rsidR="00AA6E2D" w:rsidRDefault="00AA6E2D">
      <w:pPr>
        <w:pStyle w:val="PargrafodaLista"/>
        <w:rPr>
          <w:rFonts w:ascii="Arial" w:hAnsi="Arial"/>
          <w:b/>
          <w:color w:val="CC0000"/>
        </w:rPr>
      </w:pPr>
    </w:p>
    <w:p w14:paraId="477977A2" w14:textId="77777777" w:rsidR="00AA6E2D" w:rsidRDefault="0006480B">
      <w:pPr>
        <w:pStyle w:val="PargrafodaLista"/>
        <w:numPr>
          <w:ilvl w:val="0"/>
          <w:numId w:val="1"/>
        </w:numPr>
        <w:spacing w:after="0"/>
        <w:ind w:hanging="294"/>
        <w:jc w:val="both"/>
      </w:pPr>
      <w:r>
        <w:rPr>
          <w:rFonts w:ascii="Arial" w:hAnsi="Arial"/>
          <w:b/>
        </w:rPr>
        <w:t xml:space="preserve">Assistência Laboratorial e Hemoterápica: </w:t>
      </w:r>
      <w:r>
        <w:rPr>
          <w:rFonts w:ascii="Arial" w:hAnsi="Arial"/>
        </w:rPr>
        <w:t xml:space="preserve">Em relação aos procedimentos para coleta de sangue de doadores e produção </w:t>
      </w:r>
      <w:r>
        <w:rPr>
          <w:rFonts w:ascii="Arial" w:hAnsi="Arial"/>
        </w:rPr>
        <w:t>de hemocomponentes, evidencia-se que:</w:t>
      </w:r>
    </w:p>
    <w:p w14:paraId="19EF4A76" w14:textId="77777777" w:rsidR="00AA6E2D" w:rsidRDefault="00AA6E2D">
      <w:pPr>
        <w:pStyle w:val="PargrafodaLista"/>
        <w:spacing w:after="0"/>
        <w:ind w:hanging="294"/>
        <w:jc w:val="both"/>
        <w:rPr>
          <w:rFonts w:ascii="Arial" w:hAnsi="Arial"/>
        </w:rPr>
      </w:pPr>
    </w:p>
    <w:p w14:paraId="0C0844B9" w14:textId="77777777" w:rsidR="00AA6E2D" w:rsidRDefault="0006480B">
      <w:pPr>
        <w:pStyle w:val="PargrafodaLista"/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</w:rPr>
        <w:t>Triagem Clínica de Doadores (Meta atingida e superada)</w:t>
      </w:r>
      <w:r>
        <w:rPr>
          <w:rFonts w:ascii="Arial" w:hAnsi="Arial"/>
        </w:rPr>
        <w:t>: Foram realizados 4.645 procedimentos, o que superou a meta em 14,7%.</w:t>
      </w:r>
    </w:p>
    <w:p w14:paraId="344114FF" w14:textId="77777777" w:rsidR="00AA6E2D" w:rsidRDefault="00AA6E2D">
      <w:pPr>
        <w:pStyle w:val="PargrafodaLista"/>
        <w:spacing w:after="0"/>
        <w:ind w:left="0"/>
        <w:jc w:val="both"/>
        <w:rPr>
          <w:rFonts w:ascii="Arial" w:hAnsi="Arial"/>
        </w:rPr>
      </w:pPr>
    </w:p>
    <w:p w14:paraId="3FCF3F6C" w14:textId="77777777" w:rsidR="00AA6E2D" w:rsidRDefault="0006480B">
      <w:pPr>
        <w:pStyle w:val="PargrafodaLista"/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</w:rPr>
        <w:t>Coleta de Sangue para transfusão (Meta atingida e superada)</w:t>
      </w:r>
      <w:r>
        <w:rPr>
          <w:rFonts w:ascii="Arial" w:hAnsi="Arial"/>
        </w:rPr>
        <w:t>: Foram realizados 3.574 procedi</w:t>
      </w:r>
      <w:r>
        <w:rPr>
          <w:rFonts w:ascii="Arial" w:hAnsi="Arial"/>
        </w:rPr>
        <w:t>mentos, o que superou a meta em 15,14%.</w:t>
      </w:r>
    </w:p>
    <w:p w14:paraId="0CC0E256" w14:textId="77777777" w:rsidR="00AA6E2D" w:rsidRDefault="00AA6E2D">
      <w:pPr>
        <w:pStyle w:val="PargrafodaLista"/>
        <w:spacing w:after="0"/>
        <w:ind w:left="0"/>
        <w:jc w:val="both"/>
        <w:rPr>
          <w:rFonts w:ascii="Arial" w:hAnsi="Arial"/>
        </w:rPr>
      </w:pPr>
    </w:p>
    <w:p w14:paraId="5EB7B763" w14:textId="77777777" w:rsidR="00AA6E2D" w:rsidRDefault="0006480B">
      <w:pPr>
        <w:pStyle w:val="PargrafodaLista"/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</w:rPr>
        <w:lastRenderedPageBreak/>
        <w:t>Coleta de sangue para transfusão com processadora automática – aférese (Meta não atingida)</w:t>
      </w:r>
      <w:r>
        <w:rPr>
          <w:rFonts w:ascii="Arial" w:hAnsi="Arial"/>
        </w:rPr>
        <w:t xml:space="preserve">: Não houve realização de coleta por </w:t>
      </w:r>
      <w:proofErr w:type="spellStart"/>
      <w:proofErr w:type="gramStart"/>
      <w:r>
        <w:rPr>
          <w:rFonts w:ascii="Arial" w:hAnsi="Arial"/>
        </w:rPr>
        <w:t>aférese.O</w:t>
      </w:r>
      <w:proofErr w:type="spellEnd"/>
      <w:proofErr w:type="gramEnd"/>
      <w:r>
        <w:rPr>
          <w:rFonts w:ascii="Arial" w:hAnsi="Arial"/>
        </w:rPr>
        <w:t xml:space="preserve"> procedimento de coleta por aférese no Hemocentro Coordenador depende da manute</w:t>
      </w:r>
      <w:r>
        <w:rPr>
          <w:rFonts w:ascii="Arial" w:hAnsi="Arial"/>
        </w:rPr>
        <w:t>nção dos equipamentos para aférese, bem como do restabelecimento do fornecimento de insumos para realização do hemograma (interrompido há meses).</w:t>
      </w:r>
      <w:r>
        <w:rPr>
          <w:rFonts w:ascii="Arial" w:hAnsi="Arial"/>
          <w:color w:val="000000"/>
        </w:rPr>
        <w:t xml:space="preserve"> As providências devidas estão sendo tomadas com a estimativa de que a realização desse procedimento seja </w:t>
      </w:r>
      <w:proofErr w:type="gramStart"/>
      <w:r>
        <w:rPr>
          <w:rFonts w:ascii="Arial" w:hAnsi="Arial"/>
          <w:color w:val="000000"/>
        </w:rPr>
        <w:t>retom</w:t>
      </w:r>
      <w:r>
        <w:rPr>
          <w:rFonts w:ascii="Arial" w:hAnsi="Arial"/>
          <w:color w:val="000000"/>
        </w:rPr>
        <w:t>ado</w:t>
      </w:r>
      <w:proofErr w:type="gramEnd"/>
      <w:r>
        <w:rPr>
          <w:rFonts w:ascii="Arial" w:hAnsi="Arial"/>
          <w:color w:val="000000"/>
        </w:rPr>
        <w:t xml:space="preserve"> em março/2019. Assim que retomado, serão realizadas coletas de forma a atender às metas cumulativamente.</w:t>
      </w:r>
    </w:p>
    <w:p w14:paraId="49032901" w14:textId="77777777" w:rsidR="00AA6E2D" w:rsidRDefault="00AA6E2D">
      <w:pPr>
        <w:pStyle w:val="PargrafodaLista"/>
        <w:spacing w:after="0"/>
        <w:ind w:left="0"/>
        <w:jc w:val="both"/>
        <w:rPr>
          <w:rFonts w:ascii="Arial" w:hAnsi="Arial"/>
          <w:color w:val="CC0000"/>
        </w:rPr>
      </w:pPr>
    </w:p>
    <w:p w14:paraId="1948F59D" w14:textId="77777777" w:rsidR="00AA6E2D" w:rsidRDefault="0006480B">
      <w:pPr>
        <w:pStyle w:val="PargrafodaLista"/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</w:rPr>
        <w:t>Processamento/fracionamento de sangue total (Meta não atingida)</w:t>
      </w:r>
      <w:r>
        <w:rPr>
          <w:rFonts w:ascii="Arial" w:hAnsi="Arial"/>
        </w:rPr>
        <w:t>: Foram realizados 6.752 procedimentos, ou seja, 98,14% da meta estabelecida.</w:t>
      </w:r>
    </w:p>
    <w:p w14:paraId="1F03513E" w14:textId="77777777" w:rsidR="00AA6E2D" w:rsidRDefault="00AA6E2D">
      <w:pPr>
        <w:pStyle w:val="PargrafodaLista"/>
        <w:spacing w:after="0"/>
        <w:ind w:left="0"/>
        <w:jc w:val="both"/>
        <w:rPr>
          <w:rFonts w:ascii="Arial" w:hAnsi="Arial"/>
        </w:rPr>
      </w:pPr>
    </w:p>
    <w:p w14:paraId="5D507CC1" w14:textId="77777777" w:rsidR="00AA6E2D" w:rsidRDefault="0006480B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>Proc</w:t>
      </w:r>
      <w:r>
        <w:rPr>
          <w:rFonts w:ascii="Arial" w:hAnsi="Arial"/>
          <w:b/>
          <w:color w:val="000000"/>
        </w:rPr>
        <w:t>edimentos Especiais – MAC (Meta não atingida):</w:t>
      </w:r>
      <w:r>
        <w:rPr>
          <w:rFonts w:ascii="Arial" w:hAnsi="Arial"/>
          <w:color w:val="000000"/>
        </w:rPr>
        <w:t xml:space="preserve"> Foram realizados 725 procedimentos, ou seja, 14,11% da meta estabelecida. </w:t>
      </w:r>
    </w:p>
    <w:p w14:paraId="73CEF205" w14:textId="77777777" w:rsidR="00AA6E2D" w:rsidRDefault="00AA6E2D">
      <w:pPr>
        <w:spacing w:after="0"/>
        <w:jc w:val="both"/>
        <w:rPr>
          <w:rFonts w:ascii="Arial" w:hAnsi="Arial"/>
          <w:color w:val="000000"/>
        </w:rPr>
      </w:pPr>
    </w:p>
    <w:p w14:paraId="652797F6" w14:textId="77777777" w:rsidR="00AA6E2D" w:rsidRDefault="0006480B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 xml:space="preserve">Exames </w:t>
      </w:r>
      <w:proofErr w:type="spellStart"/>
      <w:r>
        <w:rPr>
          <w:rFonts w:ascii="Arial" w:hAnsi="Arial"/>
          <w:b/>
          <w:color w:val="000000"/>
        </w:rPr>
        <w:t>Imunohematológicos</w:t>
      </w:r>
      <w:proofErr w:type="spellEnd"/>
      <w:r>
        <w:rPr>
          <w:rFonts w:ascii="Arial" w:hAnsi="Arial"/>
          <w:b/>
          <w:color w:val="000000"/>
        </w:rPr>
        <w:t xml:space="preserve"> – MAC (Meta atingida e superada):</w:t>
      </w:r>
      <w:r>
        <w:rPr>
          <w:rFonts w:ascii="Arial" w:hAnsi="Arial"/>
          <w:color w:val="000000"/>
        </w:rPr>
        <w:t xml:space="preserve"> Foram realizados 11.138 procedimentos, o que superou a meta em 28,19%.</w:t>
      </w:r>
    </w:p>
    <w:p w14:paraId="3AFD92CE" w14:textId="77777777" w:rsidR="00AA6E2D" w:rsidRDefault="00AA6E2D">
      <w:pPr>
        <w:spacing w:after="0"/>
        <w:jc w:val="both"/>
        <w:rPr>
          <w:rFonts w:ascii="Arial" w:hAnsi="Arial"/>
          <w:color w:val="CC0000"/>
        </w:rPr>
      </w:pPr>
    </w:p>
    <w:p w14:paraId="2CF5CBE5" w14:textId="77777777" w:rsidR="00AA6E2D" w:rsidRDefault="0006480B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>E</w:t>
      </w:r>
      <w:r>
        <w:rPr>
          <w:rFonts w:ascii="Arial" w:hAnsi="Arial"/>
          <w:b/>
          <w:color w:val="000000"/>
        </w:rPr>
        <w:t xml:space="preserve">xames sorológicos – MAC (Meta atingida e superada): </w:t>
      </w:r>
      <w:r>
        <w:rPr>
          <w:rFonts w:ascii="Arial" w:hAnsi="Arial"/>
          <w:color w:val="000000"/>
        </w:rPr>
        <w:t>Foram realizados 5.543 procedimentos, o que superou a meta em 37,74%.</w:t>
      </w:r>
    </w:p>
    <w:p w14:paraId="6C9BC89C" w14:textId="77777777" w:rsidR="00AA6E2D" w:rsidRDefault="00AA6E2D">
      <w:pPr>
        <w:spacing w:after="0"/>
        <w:jc w:val="both"/>
        <w:rPr>
          <w:rFonts w:ascii="Arial" w:hAnsi="Arial"/>
        </w:rPr>
      </w:pPr>
    </w:p>
    <w:p w14:paraId="2F6C0042" w14:textId="77777777" w:rsidR="00AA6E2D" w:rsidRDefault="0006480B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 xml:space="preserve">Exames hematológicos (Meta não atingida): </w:t>
      </w:r>
      <w:r>
        <w:rPr>
          <w:rFonts w:ascii="Arial" w:hAnsi="Arial"/>
          <w:color w:val="000000"/>
        </w:rPr>
        <w:t xml:space="preserve">Foram realizados 52,20% da meta estabelecida (71 exames). </w:t>
      </w:r>
    </w:p>
    <w:p w14:paraId="5D52B9EB" w14:textId="77777777" w:rsidR="00AA6E2D" w:rsidRDefault="00AA6E2D">
      <w:pPr>
        <w:spacing w:after="0"/>
        <w:jc w:val="both"/>
        <w:rPr>
          <w:rFonts w:ascii="Arial" w:hAnsi="Arial"/>
        </w:rPr>
      </w:pPr>
    </w:p>
    <w:p w14:paraId="49B35353" w14:textId="77777777" w:rsidR="00AA6E2D" w:rsidRDefault="0006480B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 xml:space="preserve">Ambulatório – MAC (Meta atingida): </w:t>
      </w:r>
      <w:r>
        <w:rPr>
          <w:rFonts w:ascii="Arial" w:hAnsi="Arial"/>
          <w:color w:val="000000"/>
        </w:rPr>
        <w:t>Foram realizados 448 procedimentos, o que representa supera a meta em 80,64%.</w:t>
      </w:r>
    </w:p>
    <w:p w14:paraId="7F9060A7" w14:textId="77777777" w:rsidR="00AA6E2D" w:rsidRDefault="00AA6E2D">
      <w:pPr>
        <w:spacing w:after="0"/>
        <w:jc w:val="both"/>
        <w:rPr>
          <w:rFonts w:ascii="Arial" w:hAnsi="Arial"/>
          <w:color w:val="CC0000"/>
        </w:rPr>
      </w:pPr>
    </w:p>
    <w:p w14:paraId="60D8EE23" w14:textId="77777777" w:rsidR="00AA6E2D" w:rsidRDefault="0006480B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>Metas de produção AIH Hospitais - Aférese Terapêutica (Meta não atingida):</w:t>
      </w:r>
      <w:r>
        <w:rPr>
          <w:rFonts w:ascii="Arial" w:hAnsi="Arial"/>
          <w:color w:val="000000"/>
        </w:rPr>
        <w:t>Nenhum p</w:t>
      </w:r>
      <w:r>
        <w:rPr>
          <w:rFonts w:ascii="Arial" w:hAnsi="Arial"/>
          <w:color w:val="000000"/>
        </w:rPr>
        <w:t xml:space="preserve">rocedimento realizado. O procedimento de aférese terapêutica depende da manutenção dos equipamentos para aférese, bem como da necessidade de pacientes graves, além da devida avaliação e prescrição médica. </w:t>
      </w:r>
    </w:p>
    <w:p w14:paraId="7D349E23" w14:textId="77777777" w:rsidR="00AA6E2D" w:rsidRDefault="00AA6E2D">
      <w:pPr>
        <w:spacing w:after="0"/>
        <w:jc w:val="both"/>
        <w:rPr>
          <w:rFonts w:ascii="Arial" w:hAnsi="Arial"/>
        </w:rPr>
      </w:pPr>
    </w:p>
    <w:p w14:paraId="66A3945B" w14:textId="77777777" w:rsidR="00AA6E2D" w:rsidRDefault="0006480B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bCs/>
          <w:color w:val="000000"/>
        </w:rPr>
        <w:t xml:space="preserve">Medicina Transfusional Hospitalar (Meta </w:t>
      </w:r>
      <w:r>
        <w:rPr>
          <w:rFonts w:ascii="Arial" w:hAnsi="Arial"/>
          <w:b/>
          <w:bCs/>
          <w:color w:val="000000"/>
        </w:rPr>
        <w:t>atingida e superada):</w:t>
      </w:r>
      <w:r>
        <w:rPr>
          <w:rFonts w:ascii="Arial" w:hAnsi="Arial"/>
          <w:color w:val="000000"/>
        </w:rPr>
        <w:t xml:space="preserve"> A meta foi superada em 81,29%.</w:t>
      </w:r>
    </w:p>
    <w:p w14:paraId="2C7F59C6" w14:textId="77777777" w:rsidR="00AA6E2D" w:rsidRDefault="00AA6E2D">
      <w:pPr>
        <w:spacing w:after="0"/>
        <w:jc w:val="both"/>
        <w:rPr>
          <w:rFonts w:ascii="Arial" w:hAnsi="Arial"/>
          <w:color w:val="000000"/>
        </w:rPr>
      </w:pPr>
    </w:p>
    <w:p w14:paraId="2CA3DE4B" w14:textId="77777777" w:rsidR="00AA6E2D" w:rsidRDefault="0006480B">
      <w:pPr>
        <w:numPr>
          <w:ilvl w:val="0"/>
          <w:numId w:val="2"/>
        </w:numPr>
        <w:spacing w:after="0"/>
        <w:jc w:val="both"/>
      </w:pPr>
      <w:r>
        <w:rPr>
          <w:rFonts w:ascii="Arial" w:hAnsi="Arial"/>
          <w:b/>
          <w:color w:val="000000"/>
        </w:rPr>
        <w:t xml:space="preserve">Sorologia de possível doador de órgãos (Meta não atingida): </w:t>
      </w:r>
      <w:r>
        <w:rPr>
          <w:rFonts w:ascii="Arial" w:hAnsi="Arial"/>
          <w:color w:val="000000"/>
        </w:rPr>
        <w:t>Foram realizados 06testes, ou seja, 25</w:t>
      </w:r>
      <w:r>
        <w:rPr>
          <w:rFonts w:ascii="Arial" w:hAnsi="Arial"/>
          <w:color w:val="000000" w:themeColor="text1"/>
        </w:rPr>
        <w:t>%</w:t>
      </w:r>
      <w:r>
        <w:rPr>
          <w:rFonts w:ascii="Arial" w:hAnsi="Arial"/>
          <w:color w:val="000000"/>
        </w:rPr>
        <w:t xml:space="preserve"> da meta estabelecida. Esses procedimentos são realizados mediante solicitação da equipe de Central de </w:t>
      </w:r>
      <w:r>
        <w:rPr>
          <w:rFonts w:ascii="Arial" w:hAnsi="Arial"/>
          <w:color w:val="000000"/>
        </w:rPr>
        <w:t xml:space="preserve">Transplantes do Estado de Goiás, ou seja, o Hemocentro não possui governança sobre o trabalho de captação de doadores de órgãos. O laboratório do Hemocentro manteve-se em pleno funcionamento durante todo o mês de </w:t>
      </w:r>
      <w:proofErr w:type="gramStart"/>
      <w:r>
        <w:rPr>
          <w:rFonts w:ascii="Arial" w:hAnsi="Arial"/>
          <w:color w:val="000000"/>
        </w:rPr>
        <w:t>Fevereiro</w:t>
      </w:r>
      <w:proofErr w:type="gramEnd"/>
      <w:r>
        <w:rPr>
          <w:rFonts w:ascii="Arial" w:hAnsi="Arial"/>
          <w:color w:val="000000"/>
        </w:rPr>
        <w:t>/2019 e atendeu a toda demanda sol</w:t>
      </w:r>
      <w:r>
        <w:rPr>
          <w:rFonts w:ascii="Arial" w:hAnsi="Arial"/>
          <w:color w:val="000000"/>
        </w:rPr>
        <w:t>icitada para esse procedimento.</w:t>
      </w:r>
    </w:p>
    <w:p w14:paraId="2593A329" w14:textId="77777777" w:rsidR="00AA6E2D" w:rsidRDefault="00AA6E2D">
      <w:pPr>
        <w:spacing w:after="0"/>
        <w:jc w:val="both"/>
        <w:rPr>
          <w:rFonts w:ascii="Arial" w:hAnsi="Arial"/>
          <w:color w:val="000000"/>
        </w:rPr>
      </w:pPr>
    </w:p>
    <w:p w14:paraId="2BE7336A" w14:textId="77777777" w:rsidR="00AA6E2D" w:rsidRDefault="00AA6E2D">
      <w:pPr>
        <w:pStyle w:val="PargrafodaLista"/>
        <w:spacing w:after="0" w:line="240" w:lineRule="auto"/>
        <w:ind w:left="0"/>
        <w:jc w:val="both"/>
        <w:rPr>
          <w:rFonts w:ascii="Arial" w:hAnsi="Arial"/>
          <w:b/>
          <w:color w:val="000000"/>
        </w:rPr>
      </w:pPr>
    </w:p>
    <w:p w14:paraId="5FAC22FA" w14:textId="77777777" w:rsidR="00AA6E2D" w:rsidRDefault="0006480B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rFonts w:ascii="Arial" w:hAnsi="Arial"/>
          <w:b/>
          <w:color w:val="000000"/>
        </w:rPr>
        <w:t>INDICADORES DE QUALIDADE</w:t>
      </w:r>
    </w:p>
    <w:p w14:paraId="69C6B6DF" w14:textId="77777777" w:rsidR="00AA6E2D" w:rsidRDefault="00AA6E2D">
      <w:pPr>
        <w:spacing w:after="0" w:line="240" w:lineRule="auto"/>
        <w:jc w:val="both"/>
        <w:rPr>
          <w:rFonts w:ascii="Arial" w:hAnsi="Arial"/>
          <w:color w:val="000000"/>
        </w:rPr>
      </w:pPr>
    </w:p>
    <w:p w14:paraId="076271FD" w14:textId="77777777" w:rsidR="00AA6E2D" w:rsidRDefault="0006480B">
      <w:pPr>
        <w:pStyle w:val="PargrafodaLista"/>
        <w:numPr>
          <w:ilvl w:val="0"/>
          <w:numId w:val="3"/>
        </w:numPr>
        <w:spacing w:after="0" w:line="240" w:lineRule="auto"/>
        <w:jc w:val="both"/>
        <w:outlineLvl w:val="1"/>
      </w:pPr>
      <w:bookmarkStart w:id="0" w:name="_Toc522694430"/>
      <w:bookmarkEnd w:id="0"/>
      <w:r>
        <w:rPr>
          <w:rFonts w:ascii="Arial" w:hAnsi="Arial" w:cs="Arial"/>
          <w:b/>
          <w:color w:val="000000"/>
        </w:rPr>
        <w:lastRenderedPageBreak/>
        <w:t xml:space="preserve">Percentual de Pedido de Hemocomponentes x Atendimento </w:t>
      </w:r>
    </w:p>
    <w:p w14:paraId="66BBBCBE" w14:textId="77777777" w:rsidR="00AA6E2D" w:rsidRDefault="00AA6E2D">
      <w:pPr>
        <w:pStyle w:val="PargrafodaLista"/>
        <w:spacing w:after="0" w:line="240" w:lineRule="auto"/>
        <w:jc w:val="both"/>
        <w:outlineLvl w:val="1"/>
        <w:rPr>
          <w:rFonts w:ascii="Arial" w:hAnsi="Arial" w:cs="Arial"/>
          <w:b/>
          <w:color w:val="000000"/>
        </w:rPr>
      </w:pPr>
    </w:p>
    <w:p w14:paraId="4B44A9F4" w14:textId="77777777" w:rsidR="00AA6E2D" w:rsidRDefault="0006480B">
      <w:pPr>
        <w:pStyle w:val="PargrafodaLista"/>
        <w:spacing w:after="0" w:line="240" w:lineRule="auto"/>
        <w:jc w:val="both"/>
        <w:rPr>
          <w:rFonts w:cs="Arial"/>
          <w:b/>
        </w:rPr>
      </w:pPr>
      <w:r>
        <w:rPr>
          <w:rFonts w:ascii="Arial" w:hAnsi="Arial" w:cs="Arial"/>
          <w:b/>
          <w:color w:val="000000"/>
        </w:rPr>
        <w:t>Cálculo = (Nº de atendimentos /Nº de pedidos de hemocomponentes) x 100</w:t>
      </w:r>
    </w:p>
    <w:p w14:paraId="2438C2D2" w14:textId="77777777" w:rsidR="00AA6E2D" w:rsidRDefault="0006480B">
      <w:pPr>
        <w:spacing w:after="0" w:line="240" w:lineRule="auto"/>
        <w:ind w:firstLine="708"/>
        <w:jc w:val="both"/>
        <w:outlineLvl w:val="1"/>
      </w:pPr>
      <w:r>
        <w:rPr>
          <w:rFonts w:ascii="Arial" w:hAnsi="Arial" w:cs="Arial"/>
          <w:color w:val="000000"/>
        </w:rPr>
        <w:t xml:space="preserve"> </w:t>
      </w:r>
    </w:p>
    <w:p w14:paraId="3096A936" w14:textId="77777777" w:rsidR="00AA6E2D" w:rsidRDefault="00AA6E2D">
      <w:pPr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</w:rPr>
      </w:pPr>
    </w:p>
    <w:p w14:paraId="1EE65BEE" w14:textId="77777777" w:rsidR="00AA6E2D" w:rsidRDefault="0006480B">
      <w:pPr>
        <w:spacing w:after="0" w:line="240" w:lineRule="auto"/>
        <w:ind w:firstLine="708"/>
        <w:jc w:val="both"/>
        <w:outlineLvl w:val="1"/>
      </w:pPr>
      <w:r>
        <w:rPr>
          <w:rFonts w:ascii="Arial" w:hAnsi="Arial" w:cs="Arial"/>
          <w:color w:val="000000"/>
        </w:rPr>
        <w:t>Total de Hemocomponentes</w:t>
      </w:r>
    </w:p>
    <w:p w14:paraId="06616EBD" w14:textId="77777777" w:rsidR="00AA6E2D" w:rsidRDefault="0006480B">
      <w:pPr>
        <w:spacing w:after="0" w:line="240" w:lineRule="auto"/>
        <w:ind w:firstLine="708"/>
        <w:jc w:val="both"/>
        <w:outlineLvl w:val="1"/>
      </w:pPr>
      <w:r>
        <w:rPr>
          <w:rFonts w:ascii="Arial" w:hAnsi="Arial" w:cs="Arial"/>
          <w:color w:val="000000"/>
        </w:rPr>
        <w:t>Total Solicitados: 2.707</w:t>
      </w:r>
    </w:p>
    <w:p w14:paraId="62E201C1" w14:textId="77777777" w:rsidR="00AA6E2D" w:rsidRDefault="0006480B">
      <w:pPr>
        <w:spacing w:after="0" w:line="240" w:lineRule="auto"/>
        <w:ind w:firstLine="708"/>
        <w:jc w:val="both"/>
        <w:outlineLvl w:val="1"/>
      </w:pPr>
      <w:r>
        <w:rPr>
          <w:rFonts w:ascii="Arial" w:hAnsi="Arial" w:cs="Arial"/>
          <w:color w:val="000000"/>
        </w:rPr>
        <w:t xml:space="preserve">Total </w:t>
      </w:r>
      <w:r>
        <w:rPr>
          <w:rFonts w:ascii="Arial" w:hAnsi="Arial" w:cs="Arial"/>
          <w:color w:val="000000"/>
        </w:rPr>
        <w:t>Atendidos: 2.336</w:t>
      </w:r>
    </w:p>
    <w:p w14:paraId="136A32B1" w14:textId="77777777" w:rsidR="00AA6E2D" w:rsidRDefault="0006480B">
      <w:pPr>
        <w:spacing w:after="0" w:line="240" w:lineRule="auto"/>
        <w:ind w:firstLine="708"/>
        <w:jc w:val="both"/>
        <w:outlineLvl w:val="1"/>
      </w:pPr>
      <w:r>
        <w:rPr>
          <w:rFonts w:ascii="Arial" w:hAnsi="Arial" w:cs="Arial"/>
          <w:color w:val="000000"/>
        </w:rPr>
        <w:t>Percentual de Pedidos Atendidos: 86,29</w:t>
      </w:r>
    </w:p>
    <w:p w14:paraId="6C276127" w14:textId="77777777" w:rsidR="00AA6E2D" w:rsidRDefault="00AA6E2D">
      <w:pPr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</w:rPr>
      </w:pPr>
    </w:p>
    <w:p w14:paraId="3DC6FF7E" w14:textId="77777777" w:rsidR="00AA6E2D" w:rsidRDefault="00AA6E2D">
      <w:pPr>
        <w:spacing w:after="0" w:line="240" w:lineRule="auto"/>
        <w:ind w:firstLine="360"/>
        <w:jc w:val="both"/>
        <w:outlineLvl w:val="1"/>
        <w:rPr>
          <w:rFonts w:ascii="Arial" w:hAnsi="Arial" w:cs="Arial"/>
        </w:rPr>
      </w:pPr>
    </w:p>
    <w:p w14:paraId="16445506" w14:textId="77777777" w:rsidR="00AA6E2D" w:rsidRDefault="0006480B">
      <w:pPr>
        <w:pStyle w:val="PargrafodaLista"/>
        <w:numPr>
          <w:ilvl w:val="0"/>
          <w:numId w:val="3"/>
        </w:numPr>
        <w:spacing w:after="0" w:line="240" w:lineRule="auto"/>
        <w:jc w:val="both"/>
        <w:outlineLvl w:val="1"/>
      </w:pPr>
      <w:bookmarkStart w:id="1" w:name="_Toc522694431"/>
      <w:bookmarkEnd w:id="1"/>
      <w:r>
        <w:rPr>
          <w:rFonts w:ascii="Arial" w:hAnsi="Arial" w:cs="Arial"/>
          <w:b/>
          <w:bCs/>
          <w:color w:val="000000"/>
        </w:rPr>
        <w:t>Percentual de Cumprimento de Visitas Técnicas e Administrativas nas Unidades Assistidas pelo Hemocentro Coordenador</w:t>
      </w:r>
    </w:p>
    <w:p w14:paraId="567E8F42" w14:textId="77777777" w:rsidR="00AA6E2D" w:rsidRDefault="00AA6E2D">
      <w:pPr>
        <w:pStyle w:val="PargrafodaLista"/>
        <w:spacing w:after="0" w:line="240" w:lineRule="auto"/>
        <w:jc w:val="both"/>
        <w:outlineLvl w:val="1"/>
        <w:rPr>
          <w:rFonts w:ascii="Arial" w:hAnsi="Arial" w:cs="Arial"/>
          <w:color w:val="000000"/>
        </w:rPr>
      </w:pPr>
    </w:p>
    <w:p w14:paraId="504ACD23" w14:textId="77777777" w:rsidR="00AA6E2D" w:rsidRDefault="0006480B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/>
        </w:rPr>
        <w:t xml:space="preserve">Cálculo = (Nº de visitas realizadas/Nº de unidades assistidas pelo Hemocentro </w:t>
      </w:r>
      <w:proofErr w:type="gramStart"/>
      <w:r>
        <w:rPr>
          <w:rFonts w:ascii="Arial" w:hAnsi="Arial" w:cs="Arial"/>
          <w:color w:val="000000"/>
        </w:rPr>
        <w:t>Coo</w:t>
      </w:r>
      <w:r>
        <w:rPr>
          <w:rFonts w:ascii="Arial" w:hAnsi="Arial" w:cs="Arial"/>
          <w:color w:val="000000"/>
        </w:rPr>
        <w:t>rdenador)x</w:t>
      </w:r>
      <w:proofErr w:type="gramEnd"/>
      <w:r>
        <w:rPr>
          <w:rFonts w:ascii="Arial" w:hAnsi="Arial" w:cs="Arial"/>
          <w:color w:val="000000"/>
        </w:rPr>
        <w:t xml:space="preserve"> 100</w:t>
      </w:r>
    </w:p>
    <w:p w14:paraId="60ACA2B6" w14:textId="77777777" w:rsidR="00AA6E2D" w:rsidRDefault="00AA6E2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59EB08A4" w14:textId="77777777" w:rsidR="00AA6E2D" w:rsidRDefault="0006480B">
      <w:pPr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>Resultado: Meta não atingida – nenhuma visita realizada</w:t>
      </w:r>
    </w:p>
    <w:p w14:paraId="28B76454" w14:textId="77777777" w:rsidR="00AA6E2D" w:rsidRDefault="00AA6E2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1E90C1CF" w14:textId="77777777" w:rsidR="00AA6E2D" w:rsidRDefault="0006480B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/>
        </w:rPr>
        <w:t xml:space="preserve">O Hemocentro possui 55 Unidades Assistidas, firmadas em Termo de Compromisso. O Comitê Transfusional do HEMOGO encontra-se em reestruturação e a partir do mês de março/19 </w:t>
      </w:r>
      <w:r>
        <w:rPr>
          <w:rFonts w:ascii="Arial" w:hAnsi="Arial" w:cs="Arial"/>
          <w:color w:val="000000"/>
        </w:rPr>
        <w:t>iniciaremos as visitas às Unidades e apresentaremos os cronogramas seguintes.</w:t>
      </w:r>
    </w:p>
    <w:p w14:paraId="3267ED21" w14:textId="77777777" w:rsidR="00AA6E2D" w:rsidRDefault="00AA6E2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</w:p>
    <w:p w14:paraId="5800D70A" w14:textId="77777777" w:rsidR="00AA6E2D" w:rsidRDefault="00AA6E2D">
      <w:pPr>
        <w:spacing w:after="0" w:line="240" w:lineRule="auto"/>
        <w:jc w:val="both"/>
        <w:rPr>
          <w:rFonts w:ascii="Arial" w:hAnsi="Arial" w:cs="Arial"/>
        </w:rPr>
      </w:pPr>
    </w:p>
    <w:p w14:paraId="3346827C" w14:textId="77777777" w:rsidR="00AA6E2D" w:rsidRDefault="0006480B">
      <w:pPr>
        <w:pStyle w:val="PargrafodaLista"/>
        <w:numPr>
          <w:ilvl w:val="0"/>
          <w:numId w:val="3"/>
        </w:numPr>
        <w:spacing w:after="0" w:line="360" w:lineRule="auto"/>
        <w:jc w:val="both"/>
        <w:outlineLvl w:val="1"/>
        <w:rPr>
          <w:rFonts w:cs="Arial"/>
          <w:b/>
        </w:rPr>
      </w:pPr>
      <w:bookmarkStart w:id="2" w:name="_Toc522694432"/>
      <w:bookmarkEnd w:id="2"/>
      <w:r>
        <w:rPr>
          <w:rFonts w:ascii="Arial" w:hAnsi="Arial" w:cs="Arial"/>
          <w:b/>
          <w:color w:val="000000"/>
        </w:rPr>
        <w:t xml:space="preserve">Doador Espontâneo </w:t>
      </w:r>
    </w:p>
    <w:p w14:paraId="33089F72" w14:textId="77777777" w:rsidR="00AA6E2D" w:rsidRDefault="0006480B">
      <w:pPr>
        <w:spacing w:after="0"/>
      </w:pPr>
      <w:r>
        <w:rPr>
          <w:rFonts w:ascii="Arial" w:hAnsi="Arial"/>
          <w:color w:val="000000"/>
        </w:rPr>
        <w:t>Total de coletas de sangue total (doações): 1.420</w:t>
      </w:r>
    </w:p>
    <w:p w14:paraId="6CD9AE6E" w14:textId="77777777" w:rsidR="00AA6E2D" w:rsidRDefault="0006480B">
      <w:pPr>
        <w:spacing w:after="0"/>
      </w:pPr>
      <w:r>
        <w:rPr>
          <w:rFonts w:ascii="Arial" w:hAnsi="Arial"/>
          <w:color w:val="000000"/>
        </w:rPr>
        <w:t>Doadores Espontâneos (Voluntário + Campanha): 1.341</w:t>
      </w:r>
    </w:p>
    <w:p w14:paraId="76059FE1" w14:textId="77777777" w:rsidR="00AA6E2D" w:rsidRDefault="0006480B">
      <w:pPr>
        <w:spacing w:after="0"/>
      </w:pPr>
      <w:r>
        <w:rPr>
          <w:rFonts w:ascii="Arial" w:hAnsi="Arial"/>
          <w:color w:val="000000"/>
        </w:rPr>
        <w:t xml:space="preserve">Percentual de Doadores Espontâneos = </w:t>
      </w:r>
      <w:r>
        <w:rPr>
          <w:rFonts w:ascii="Arial" w:hAnsi="Arial"/>
          <w:color w:val="000000"/>
        </w:rPr>
        <w:t>(1.341/1.420) x 100 = 94,43%</w:t>
      </w:r>
    </w:p>
    <w:p w14:paraId="50D3668F" w14:textId="77777777" w:rsidR="00AA6E2D" w:rsidRDefault="0006480B">
      <w:pPr>
        <w:spacing w:after="0"/>
        <w:rPr>
          <w:color w:val="000000" w:themeColor="text1"/>
        </w:rPr>
      </w:pPr>
      <w:r>
        <w:rPr>
          <w:rFonts w:ascii="Arial" w:hAnsi="Arial"/>
          <w:color w:val="000000"/>
        </w:rPr>
        <w:t>Meta: 75%</w:t>
      </w:r>
    </w:p>
    <w:p w14:paraId="59126479" w14:textId="77777777" w:rsidR="00AA6E2D" w:rsidRDefault="0006480B">
      <w:pPr>
        <w:spacing w:after="0"/>
      </w:pPr>
      <w:r>
        <w:rPr>
          <w:rFonts w:ascii="Arial" w:hAnsi="Arial"/>
          <w:b/>
          <w:bCs/>
          <w:color w:val="000000"/>
        </w:rPr>
        <w:t>Resultado: Meta atingida.</w:t>
      </w:r>
    </w:p>
    <w:p w14:paraId="31A55EB5" w14:textId="77777777" w:rsidR="00AA6E2D" w:rsidRDefault="00AA6E2D">
      <w:pPr>
        <w:spacing w:after="0"/>
        <w:rPr>
          <w:rFonts w:ascii="Arial" w:hAnsi="Arial"/>
          <w:color w:val="CC0000"/>
        </w:rPr>
      </w:pPr>
    </w:p>
    <w:p w14:paraId="302F1D0C" w14:textId="77777777" w:rsidR="00AA6E2D" w:rsidRDefault="0006480B">
      <w:pPr>
        <w:pStyle w:val="PargrafodaLista"/>
        <w:numPr>
          <w:ilvl w:val="0"/>
          <w:numId w:val="3"/>
        </w:numPr>
        <w:spacing w:after="0"/>
        <w:rPr>
          <w:rFonts w:cs="Arial"/>
          <w:b/>
        </w:rPr>
      </w:pPr>
      <w:bookmarkStart w:id="3" w:name="_Toc522694433"/>
      <w:bookmarkEnd w:id="3"/>
      <w:r>
        <w:rPr>
          <w:rFonts w:ascii="Arial" w:hAnsi="Arial" w:cs="Arial"/>
          <w:b/>
          <w:color w:val="000000"/>
        </w:rPr>
        <w:t xml:space="preserve">Doador de Repetição </w:t>
      </w:r>
    </w:p>
    <w:p w14:paraId="1A7A204A" w14:textId="77777777" w:rsidR="00AA6E2D" w:rsidRDefault="0006480B">
      <w:pPr>
        <w:spacing w:after="0"/>
      </w:pPr>
      <w:r>
        <w:rPr>
          <w:rFonts w:ascii="Arial" w:hAnsi="Arial"/>
          <w:color w:val="000000"/>
        </w:rPr>
        <w:t xml:space="preserve">Total de coletas de sangue total (doações): </w:t>
      </w:r>
      <w:r>
        <w:rPr>
          <w:rFonts w:ascii="Arial" w:hAnsi="Arial"/>
        </w:rPr>
        <w:t>1.420</w:t>
      </w:r>
    </w:p>
    <w:p w14:paraId="5A3582EF" w14:textId="77777777" w:rsidR="00AA6E2D" w:rsidRDefault="0006480B">
      <w:pPr>
        <w:spacing w:after="0"/>
      </w:pPr>
      <w:r>
        <w:rPr>
          <w:rFonts w:ascii="Arial" w:hAnsi="Arial"/>
          <w:color w:val="000000"/>
        </w:rPr>
        <w:t>Doadores de Repetição (Retorno): 873</w:t>
      </w:r>
    </w:p>
    <w:p w14:paraId="51ECF2AD" w14:textId="77777777" w:rsidR="00AA6E2D" w:rsidRDefault="0006480B">
      <w:pPr>
        <w:spacing w:after="0"/>
      </w:pPr>
      <w:r>
        <w:rPr>
          <w:rFonts w:ascii="Arial" w:hAnsi="Arial"/>
          <w:color w:val="000000"/>
        </w:rPr>
        <w:t>Percentual de Doadores Espontâneos = (873/ 1.420) x 100 = 61,47%</w:t>
      </w:r>
    </w:p>
    <w:p w14:paraId="0A26A740" w14:textId="77777777" w:rsidR="00AA6E2D" w:rsidRDefault="0006480B">
      <w:pPr>
        <w:spacing w:after="0"/>
        <w:rPr>
          <w:color w:val="000000" w:themeColor="text1"/>
        </w:rPr>
      </w:pPr>
      <w:r>
        <w:rPr>
          <w:rFonts w:ascii="Arial" w:hAnsi="Arial"/>
          <w:color w:val="000000"/>
        </w:rPr>
        <w:t>Meta: 60%</w:t>
      </w:r>
    </w:p>
    <w:p w14:paraId="07EAF1E8" w14:textId="77777777" w:rsidR="00AA6E2D" w:rsidRDefault="0006480B">
      <w:pPr>
        <w:spacing w:after="0"/>
      </w:pPr>
      <w:r>
        <w:rPr>
          <w:rFonts w:ascii="Arial" w:hAnsi="Arial"/>
          <w:b/>
          <w:bCs/>
          <w:color w:val="000000"/>
        </w:rPr>
        <w:t>Resulta</w:t>
      </w:r>
      <w:r>
        <w:rPr>
          <w:rFonts w:ascii="Arial" w:hAnsi="Arial"/>
          <w:b/>
          <w:bCs/>
          <w:color w:val="000000"/>
        </w:rPr>
        <w:t>do: Meta atingida.</w:t>
      </w:r>
    </w:p>
    <w:p w14:paraId="5B4F18D6" w14:textId="77777777" w:rsidR="00AA6E2D" w:rsidRDefault="00AA6E2D">
      <w:pPr>
        <w:spacing w:after="0"/>
        <w:rPr>
          <w:rFonts w:ascii="Arial" w:hAnsi="Arial"/>
        </w:rPr>
      </w:pPr>
    </w:p>
    <w:p w14:paraId="0478B57E" w14:textId="77777777" w:rsidR="00AA6E2D" w:rsidRDefault="00AA6E2D">
      <w:pPr>
        <w:spacing w:after="0"/>
        <w:rPr>
          <w:rFonts w:ascii="Arial" w:hAnsi="Arial"/>
        </w:rPr>
      </w:pPr>
    </w:p>
    <w:p w14:paraId="25D75DE5" w14:textId="77777777" w:rsidR="00AA6E2D" w:rsidRDefault="0006480B">
      <w:pPr>
        <w:pStyle w:val="PargrafodaLista"/>
        <w:numPr>
          <w:ilvl w:val="0"/>
          <w:numId w:val="3"/>
        </w:numPr>
        <w:spacing w:after="0"/>
      </w:pPr>
      <w:r>
        <w:rPr>
          <w:rFonts w:ascii="Arial" w:hAnsi="Arial" w:cs="Arial"/>
          <w:b/>
          <w:color w:val="000000"/>
        </w:rPr>
        <w:t>Qualidade dos Hemocomponentes</w:t>
      </w:r>
    </w:p>
    <w:p w14:paraId="5239D9BB" w14:textId="77777777" w:rsidR="00AA6E2D" w:rsidRDefault="0006480B">
      <w:pPr>
        <w:pStyle w:val="PargrafodaLista"/>
        <w:spacing w:after="0"/>
        <w:ind w:left="57" w:hanging="57"/>
      </w:pPr>
      <w:r>
        <w:rPr>
          <w:rFonts w:ascii="Arial" w:hAnsi="Arial"/>
          <w:b/>
          <w:color w:val="000000"/>
        </w:rPr>
        <w:t>Concentrado de Hemácias</w:t>
      </w:r>
    </w:p>
    <w:p w14:paraId="1062B5FA" w14:textId="77777777" w:rsidR="00AA6E2D" w:rsidRDefault="0006480B">
      <w:pPr>
        <w:spacing w:after="0"/>
      </w:pPr>
      <w:r>
        <w:rPr>
          <w:rFonts w:ascii="Arial" w:hAnsi="Arial"/>
          <w:b/>
          <w:bCs/>
          <w:color w:val="000000"/>
        </w:rPr>
        <w:t xml:space="preserve">Meta: </w:t>
      </w:r>
      <w:r>
        <w:rPr>
          <w:rFonts w:ascii="Arial" w:hAnsi="Arial"/>
          <w:b/>
          <w:bCs/>
          <w:color w:val="000000" w:themeColor="text1"/>
        </w:rPr>
        <w:t>90% de conformidade</w:t>
      </w:r>
    </w:p>
    <w:p w14:paraId="35EBDF89" w14:textId="77777777" w:rsidR="00AA6E2D" w:rsidRDefault="0006480B">
      <w:pPr>
        <w:spacing w:after="0"/>
        <w:ind w:left="57"/>
        <w:jc w:val="both"/>
      </w:pPr>
      <w:r>
        <w:rPr>
          <w:rFonts w:ascii="Arial" w:hAnsi="Arial"/>
          <w:color w:val="000000"/>
        </w:rPr>
        <w:t xml:space="preserve">De acordo com os testes de controle de qualidade, foram evidenciados os seguintes resultados de conformidade parâmetros testados para </w:t>
      </w:r>
      <w:r>
        <w:rPr>
          <w:rFonts w:ascii="Arial" w:hAnsi="Arial"/>
          <w:color w:val="000000"/>
        </w:rPr>
        <w:t xml:space="preserve">Concentrados de Hemácias produzidos no Hemocentro no mês de </w:t>
      </w:r>
      <w:proofErr w:type="gramStart"/>
      <w:r>
        <w:rPr>
          <w:rFonts w:ascii="Arial" w:hAnsi="Arial"/>
          <w:color w:val="000000"/>
        </w:rPr>
        <w:t>Fevereiro</w:t>
      </w:r>
      <w:proofErr w:type="gramEnd"/>
      <w:r>
        <w:rPr>
          <w:rFonts w:ascii="Arial" w:hAnsi="Arial"/>
          <w:color w:val="000000"/>
        </w:rPr>
        <w:t>/2019.</w:t>
      </w:r>
    </w:p>
    <w:p w14:paraId="34EB4896" w14:textId="77777777" w:rsidR="00AA6E2D" w:rsidRDefault="00AA6E2D">
      <w:pPr>
        <w:spacing w:after="0"/>
        <w:ind w:left="357"/>
        <w:jc w:val="both"/>
        <w:rPr>
          <w:rFonts w:ascii="Arial" w:hAnsi="Arial"/>
          <w:color w:val="000000"/>
        </w:rPr>
      </w:pPr>
    </w:p>
    <w:tbl>
      <w:tblPr>
        <w:tblStyle w:val="Tabelacomgrade"/>
        <w:tblW w:w="6414" w:type="dxa"/>
        <w:jc w:val="center"/>
        <w:tblCellMar>
          <w:left w:w="48" w:type="dxa"/>
        </w:tblCellMar>
        <w:tblLook w:val="04A0" w:firstRow="1" w:lastRow="0" w:firstColumn="1" w:lastColumn="0" w:noHBand="0" w:noVBand="1"/>
      </w:tblPr>
      <w:tblGrid>
        <w:gridCol w:w="3008"/>
        <w:gridCol w:w="3406"/>
      </w:tblGrid>
      <w:tr w:rsidR="00AA6E2D" w14:paraId="2D730440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48" w:type="dxa"/>
            </w:tcMar>
          </w:tcPr>
          <w:p w14:paraId="414C76B6" w14:textId="77777777" w:rsidR="00AA6E2D" w:rsidRDefault="000648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/>
                <w:b/>
                <w:color w:val="000000"/>
              </w:rPr>
              <w:t>Concentrado de Hemácias – CPDA</w:t>
            </w:r>
          </w:p>
        </w:tc>
      </w:tr>
      <w:tr w:rsidR="00AA6E2D" w14:paraId="71CCEA6A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3076E6D0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Parâmetro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5C81920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Percentual de Conformidade</w:t>
            </w:r>
          </w:p>
        </w:tc>
      </w:tr>
      <w:tr w:rsidR="00AA6E2D" w14:paraId="197FD205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5D49E1B6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lastRenderedPageBreak/>
              <w:t>Hemoglobina (</w:t>
            </w:r>
            <w:proofErr w:type="spellStart"/>
            <w:r>
              <w:rPr>
                <w:rFonts w:ascii="Arial" w:hAnsi="Arial"/>
                <w:color w:val="000000"/>
              </w:rPr>
              <w:t>Hb</w:t>
            </w:r>
            <w:proofErr w:type="spellEnd"/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7664F109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3BA19064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57A8C515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Hematócrito (</w:t>
            </w:r>
            <w:proofErr w:type="spellStart"/>
            <w:r>
              <w:rPr>
                <w:rFonts w:ascii="Arial" w:hAnsi="Arial"/>
                <w:color w:val="000000"/>
              </w:rPr>
              <w:t>Ht</w:t>
            </w:r>
            <w:proofErr w:type="spellEnd"/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009DAA79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0ED341ED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402D1B27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Hemólise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1D778FC5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90%</w:t>
            </w:r>
          </w:p>
        </w:tc>
      </w:tr>
      <w:tr w:rsidR="00AA6E2D" w14:paraId="2ED22B06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5994CDE7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Microbiológico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3CAC0896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</w:tbl>
    <w:p w14:paraId="4FC9586D" w14:textId="77777777" w:rsidR="00AA6E2D" w:rsidRDefault="00AA6E2D">
      <w:pPr>
        <w:spacing w:after="0"/>
        <w:ind w:left="357"/>
        <w:jc w:val="both"/>
        <w:rPr>
          <w:rFonts w:ascii="Arial" w:hAnsi="Arial"/>
          <w:color w:val="000000"/>
        </w:rPr>
      </w:pPr>
    </w:p>
    <w:tbl>
      <w:tblPr>
        <w:tblStyle w:val="Tabelacomgrade"/>
        <w:tblW w:w="6414" w:type="dxa"/>
        <w:jc w:val="center"/>
        <w:tblCellMar>
          <w:left w:w="48" w:type="dxa"/>
        </w:tblCellMar>
        <w:tblLook w:val="04A0" w:firstRow="1" w:lastRow="0" w:firstColumn="1" w:lastColumn="0" w:noHBand="0" w:noVBand="1"/>
      </w:tblPr>
      <w:tblGrid>
        <w:gridCol w:w="3008"/>
        <w:gridCol w:w="3406"/>
      </w:tblGrid>
      <w:tr w:rsidR="00AA6E2D" w14:paraId="3B9D726C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48" w:type="dxa"/>
            </w:tcMar>
          </w:tcPr>
          <w:p w14:paraId="7A521FDE" w14:textId="77777777" w:rsidR="00AA6E2D" w:rsidRDefault="000648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/>
                <w:b/>
                <w:color w:val="000000"/>
              </w:rPr>
              <w:t xml:space="preserve">Concentrado de </w:t>
            </w:r>
            <w:r>
              <w:rPr>
                <w:rFonts w:ascii="Arial" w:hAnsi="Arial"/>
                <w:b/>
                <w:color w:val="000000"/>
              </w:rPr>
              <w:t>Hemácias – SAGM</w:t>
            </w:r>
          </w:p>
        </w:tc>
      </w:tr>
      <w:tr w:rsidR="00AA6E2D" w14:paraId="021602C3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223B6CEE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Parâmetro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5CCEBC2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Percentual de Conformidade</w:t>
            </w:r>
          </w:p>
        </w:tc>
      </w:tr>
      <w:tr w:rsidR="00AA6E2D" w14:paraId="10101A46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2174A259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Hemoglobina (</w:t>
            </w:r>
            <w:proofErr w:type="spellStart"/>
            <w:r>
              <w:rPr>
                <w:rFonts w:ascii="Arial" w:hAnsi="Arial"/>
                <w:color w:val="000000"/>
              </w:rPr>
              <w:t>Hb</w:t>
            </w:r>
            <w:proofErr w:type="spellEnd"/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1284E9F5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13E3BE34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54CCA0BB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Hematócrito (</w:t>
            </w:r>
            <w:proofErr w:type="spellStart"/>
            <w:r>
              <w:rPr>
                <w:rFonts w:ascii="Arial" w:hAnsi="Arial"/>
                <w:color w:val="000000"/>
              </w:rPr>
              <w:t>Ht</w:t>
            </w:r>
            <w:proofErr w:type="spellEnd"/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493F13B4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148B9181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23049441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Hemólise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01B84068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67C5687D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4959AC6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Microbiológico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1038A2AC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</w:tbl>
    <w:p w14:paraId="1B46729B" w14:textId="77777777" w:rsidR="00AA6E2D" w:rsidRDefault="00AA6E2D">
      <w:pPr>
        <w:spacing w:after="0"/>
        <w:ind w:left="357"/>
        <w:jc w:val="center"/>
        <w:rPr>
          <w:rFonts w:ascii="Arial" w:hAnsi="Arial"/>
          <w:color w:val="000000"/>
        </w:rPr>
      </w:pPr>
    </w:p>
    <w:tbl>
      <w:tblPr>
        <w:tblStyle w:val="Tabelacomgrade"/>
        <w:tblW w:w="6414" w:type="dxa"/>
        <w:jc w:val="center"/>
        <w:tblCellMar>
          <w:left w:w="48" w:type="dxa"/>
        </w:tblCellMar>
        <w:tblLook w:val="04A0" w:firstRow="1" w:lastRow="0" w:firstColumn="1" w:lastColumn="0" w:noHBand="0" w:noVBand="1"/>
      </w:tblPr>
      <w:tblGrid>
        <w:gridCol w:w="3008"/>
        <w:gridCol w:w="3406"/>
      </w:tblGrid>
      <w:tr w:rsidR="00AA6E2D" w14:paraId="4A0FE6F6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48" w:type="dxa"/>
            </w:tcMar>
          </w:tcPr>
          <w:p w14:paraId="78A76D10" w14:textId="77777777" w:rsidR="00AA6E2D" w:rsidRDefault="000648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/>
                <w:b/>
                <w:color w:val="000000"/>
              </w:rPr>
              <w:t xml:space="preserve">Concentrado de Hemácias </w:t>
            </w:r>
            <w:proofErr w:type="spellStart"/>
            <w:r>
              <w:rPr>
                <w:rFonts w:ascii="Arial" w:hAnsi="Arial"/>
                <w:b/>
                <w:color w:val="000000"/>
              </w:rPr>
              <w:t>Deleucotizado</w:t>
            </w:r>
            <w:proofErr w:type="spellEnd"/>
          </w:p>
        </w:tc>
      </w:tr>
      <w:tr w:rsidR="00AA6E2D" w14:paraId="61E0995F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5F1C57C9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Parâmetro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5D60B3DA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Percentual de Conformidade</w:t>
            </w:r>
          </w:p>
        </w:tc>
      </w:tr>
      <w:tr w:rsidR="00AA6E2D" w14:paraId="4F71C3DF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0068AFE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Hemoglobina (</w:t>
            </w:r>
            <w:proofErr w:type="spellStart"/>
            <w:r>
              <w:rPr>
                <w:rFonts w:ascii="Arial" w:hAnsi="Arial"/>
                <w:color w:val="000000"/>
              </w:rPr>
              <w:t>Hb</w:t>
            </w:r>
            <w:proofErr w:type="spellEnd"/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4B31C57A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62720BA0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5A740F1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Hematócrito (</w:t>
            </w:r>
            <w:proofErr w:type="spellStart"/>
            <w:r>
              <w:rPr>
                <w:rFonts w:ascii="Arial" w:hAnsi="Arial"/>
                <w:color w:val="000000"/>
              </w:rPr>
              <w:t>Ht</w:t>
            </w:r>
            <w:proofErr w:type="spellEnd"/>
            <w:r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3174A1DB" w14:textId="77777777" w:rsidR="00AA6E2D" w:rsidRDefault="0006480B">
            <w:pPr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139167BC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4C34D463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Hemólise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21C4BCF3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2FA99EE5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4C454647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Microbiológico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18A5E75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</w:tbl>
    <w:p w14:paraId="1941954E" w14:textId="77777777" w:rsidR="00AA6E2D" w:rsidRDefault="00AA6E2D">
      <w:pPr>
        <w:spacing w:after="0"/>
        <w:ind w:left="357"/>
        <w:jc w:val="both"/>
        <w:rPr>
          <w:rFonts w:ascii="Arial" w:hAnsi="Arial"/>
          <w:color w:val="000000"/>
        </w:rPr>
      </w:pPr>
    </w:p>
    <w:p w14:paraId="04098A36" w14:textId="77777777" w:rsidR="00AA6E2D" w:rsidRDefault="0006480B">
      <w:pPr>
        <w:spacing w:after="0"/>
        <w:ind w:left="35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Resultado: Metas alcançadas</w:t>
      </w:r>
    </w:p>
    <w:p w14:paraId="7D07E7EB" w14:textId="77777777" w:rsidR="00AA6E2D" w:rsidRDefault="00AA6E2D">
      <w:pPr>
        <w:spacing w:after="0"/>
        <w:ind w:left="357"/>
        <w:jc w:val="both"/>
        <w:rPr>
          <w:rFonts w:ascii="Arial" w:hAnsi="Arial"/>
          <w:color w:val="000000"/>
        </w:rPr>
      </w:pPr>
    </w:p>
    <w:p w14:paraId="33592C51" w14:textId="77777777" w:rsidR="00AA6E2D" w:rsidRDefault="0006480B">
      <w:pPr>
        <w:pStyle w:val="PargrafodaLista"/>
        <w:tabs>
          <w:tab w:val="left" w:pos="736"/>
        </w:tabs>
        <w:spacing w:after="0"/>
        <w:ind w:left="0" w:hanging="340"/>
      </w:pPr>
      <w:r>
        <w:rPr>
          <w:rFonts w:ascii="Arial" w:hAnsi="Arial"/>
          <w:b/>
          <w:color w:val="000000"/>
        </w:rPr>
        <w:tab/>
        <w:t>Plasma Fresco Congelado</w:t>
      </w:r>
    </w:p>
    <w:p w14:paraId="7F05E255" w14:textId="77777777" w:rsidR="00AA6E2D" w:rsidRDefault="0006480B">
      <w:pPr>
        <w:spacing w:after="0"/>
      </w:pPr>
      <w:r>
        <w:rPr>
          <w:rFonts w:ascii="Arial" w:hAnsi="Arial"/>
          <w:b/>
          <w:bCs/>
          <w:color w:val="000000"/>
        </w:rPr>
        <w:t xml:space="preserve">Meta: </w:t>
      </w:r>
      <w:r>
        <w:rPr>
          <w:rFonts w:ascii="Arial" w:hAnsi="Arial"/>
          <w:b/>
          <w:bCs/>
          <w:color w:val="000000" w:themeColor="text1"/>
        </w:rPr>
        <w:t>90% de</w:t>
      </w:r>
      <w:r>
        <w:rPr>
          <w:rFonts w:ascii="Arial" w:hAnsi="Arial"/>
          <w:b/>
          <w:bCs/>
          <w:color w:val="000000"/>
        </w:rPr>
        <w:t xml:space="preserve"> conformidade </w:t>
      </w:r>
    </w:p>
    <w:p w14:paraId="1FC8DEF3" w14:textId="77777777" w:rsidR="00AA6E2D" w:rsidRDefault="0006480B">
      <w:pPr>
        <w:spacing w:after="0"/>
        <w:jc w:val="both"/>
      </w:pPr>
      <w:r>
        <w:rPr>
          <w:rFonts w:ascii="Arial" w:hAnsi="Arial"/>
          <w:color w:val="000000"/>
        </w:rPr>
        <w:t xml:space="preserve">De acordo com os testes de controle de qualidade, foram evidenciados os seguintes resultados de </w:t>
      </w:r>
      <w:r>
        <w:rPr>
          <w:rFonts w:ascii="Arial" w:hAnsi="Arial"/>
          <w:color w:val="000000"/>
        </w:rPr>
        <w:t xml:space="preserve">conformidade parâmetros testados para Plasma Fresco Congelado produzidos no Hemocentro no mês de </w:t>
      </w:r>
      <w:proofErr w:type="gramStart"/>
      <w:r>
        <w:rPr>
          <w:rFonts w:ascii="Arial" w:hAnsi="Arial"/>
          <w:color w:val="000000"/>
        </w:rPr>
        <w:t>Fevereiro</w:t>
      </w:r>
      <w:proofErr w:type="gramEnd"/>
      <w:r>
        <w:rPr>
          <w:rFonts w:ascii="Arial" w:hAnsi="Arial"/>
          <w:color w:val="000000"/>
        </w:rPr>
        <w:t>/2019.</w:t>
      </w:r>
    </w:p>
    <w:p w14:paraId="781DE4B8" w14:textId="77777777" w:rsidR="00AA6E2D" w:rsidRDefault="00AA6E2D">
      <w:pPr>
        <w:spacing w:after="0"/>
        <w:jc w:val="both"/>
        <w:rPr>
          <w:rFonts w:ascii="Arial" w:hAnsi="Arial"/>
          <w:color w:val="000000"/>
        </w:rPr>
      </w:pPr>
    </w:p>
    <w:tbl>
      <w:tblPr>
        <w:tblStyle w:val="Tabelacomgrade"/>
        <w:tblW w:w="6414" w:type="dxa"/>
        <w:jc w:val="center"/>
        <w:tblCellMar>
          <w:left w:w="48" w:type="dxa"/>
        </w:tblCellMar>
        <w:tblLook w:val="04A0" w:firstRow="1" w:lastRow="0" w:firstColumn="1" w:lastColumn="0" w:noHBand="0" w:noVBand="1"/>
      </w:tblPr>
      <w:tblGrid>
        <w:gridCol w:w="3008"/>
        <w:gridCol w:w="3406"/>
      </w:tblGrid>
      <w:tr w:rsidR="00AA6E2D" w14:paraId="79BDBC73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48" w:type="dxa"/>
            </w:tcMar>
          </w:tcPr>
          <w:p w14:paraId="2DDC5BE2" w14:textId="77777777" w:rsidR="00AA6E2D" w:rsidRDefault="000648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/>
                <w:b/>
                <w:color w:val="000000"/>
              </w:rPr>
              <w:t>Plasma Fresco Congelado</w:t>
            </w:r>
          </w:p>
        </w:tc>
      </w:tr>
      <w:tr w:rsidR="00AA6E2D" w14:paraId="713B49BC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7EF36F53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Parâmetro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5C02C48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Percentual de Conformidade</w:t>
            </w:r>
          </w:p>
        </w:tc>
      </w:tr>
      <w:tr w:rsidR="00AA6E2D" w14:paraId="696EEED6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0A889C73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Leucócitos Residuais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35E691AA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3A448689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5FCD7DE7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Hemácias Residuais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6963F1EA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716D82A7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71E9F827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 xml:space="preserve">Plaquetas </w:t>
            </w:r>
            <w:r>
              <w:rPr>
                <w:rFonts w:ascii="Arial" w:hAnsi="Arial"/>
                <w:color w:val="000000"/>
              </w:rPr>
              <w:t>Residuais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37E1EDD3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6CCF7AE9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113A3A0E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Volume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01D1E875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15987758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6EAB3581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TTPa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3930862E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</w:tbl>
    <w:p w14:paraId="15271C46" w14:textId="77777777" w:rsidR="00AA6E2D" w:rsidRDefault="00AA6E2D">
      <w:pPr>
        <w:ind w:left="360"/>
        <w:jc w:val="center"/>
        <w:rPr>
          <w:rFonts w:ascii="Arial" w:hAnsi="Arial"/>
          <w:color w:val="000000"/>
        </w:rPr>
      </w:pPr>
    </w:p>
    <w:p w14:paraId="187470D7" w14:textId="77777777" w:rsidR="00AA6E2D" w:rsidRDefault="0006480B">
      <w:pPr>
        <w:spacing w:after="0"/>
        <w:ind w:left="340" w:hanging="340"/>
        <w:jc w:val="both"/>
      </w:pPr>
      <w:r>
        <w:rPr>
          <w:rFonts w:ascii="Arial" w:hAnsi="Arial"/>
          <w:b/>
          <w:bCs/>
          <w:color w:val="000000"/>
        </w:rPr>
        <w:t>Resultado: Metas alcançadas</w:t>
      </w:r>
    </w:p>
    <w:p w14:paraId="46199F8D" w14:textId="77777777" w:rsidR="00AA6E2D" w:rsidRDefault="00AA6E2D">
      <w:pPr>
        <w:spacing w:after="0"/>
        <w:ind w:left="340" w:hanging="340"/>
        <w:jc w:val="both"/>
        <w:rPr>
          <w:rFonts w:ascii="Arial" w:hAnsi="Arial"/>
          <w:b/>
          <w:bCs/>
          <w:color w:val="000000"/>
        </w:rPr>
      </w:pPr>
    </w:p>
    <w:p w14:paraId="600ACDF2" w14:textId="77777777" w:rsidR="00AA6E2D" w:rsidRDefault="0006480B">
      <w:pPr>
        <w:pStyle w:val="PargrafodaLista"/>
        <w:spacing w:after="0"/>
        <w:ind w:left="0"/>
      </w:pPr>
      <w:r>
        <w:rPr>
          <w:rFonts w:ascii="Arial" w:hAnsi="Arial"/>
          <w:b/>
          <w:color w:val="000000"/>
        </w:rPr>
        <w:t>Concentrado de Plaquetas</w:t>
      </w:r>
    </w:p>
    <w:p w14:paraId="198BA212" w14:textId="77777777" w:rsidR="00AA6E2D" w:rsidRDefault="0006480B">
      <w:pPr>
        <w:spacing w:after="0"/>
      </w:pPr>
      <w:r>
        <w:rPr>
          <w:rFonts w:ascii="Arial" w:hAnsi="Arial"/>
          <w:b/>
          <w:bCs/>
          <w:color w:val="000000"/>
        </w:rPr>
        <w:t xml:space="preserve">Meta: 90% de conformidade </w:t>
      </w:r>
    </w:p>
    <w:p w14:paraId="1CD54842" w14:textId="77777777" w:rsidR="00AA6E2D" w:rsidRDefault="0006480B">
      <w:pPr>
        <w:spacing w:after="0"/>
        <w:jc w:val="both"/>
      </w:pPr>
      <w:r>
        <w:rPr>
          <w:rFonts w:ascii="Arial" w:hAnsi="Arial"/>
          <w:color w:val="000000"/>
        </w:rPr>
        <w:t xml:space="preserve">De acordo com os testes de controle de qualidade, foram evidenciados os seguintes resultados de conformidade parâmetros </w:t>
      </w:r>
      <w:r>
        <w:rPr>
          <w:rFonts w:ascii="Arial" w:hAnsi="Arial"/>
          <w:color w:val="000000"/>
        </w:rPr>
        <w:t xml:space="preserve">testados para Concentrados de Plaquetas produzidos no Hemocentro no mês de </w:t>
      </w:r>
      <w:proofErr w:type="gramStart"/>
      <w:r>
        <w:rPr>
          <w:rFonts w:ascii="Arial" w:hAnsi="Arial"/>
          <w:color w:val="000000"/>
        </w:rPr>
        <w:t>Fevereiro</w:t>
      </w:r>
      <w:proofErr w:type="gramEnd"/>
      <w:r>
        <w:rPr>
          <w:rFonts w:ascii="Arial" w:hAnsi="Arial"/>
          <w:color w:val="000000"/>
        </w:rPr>
        <w:t>/2019.</w:t>
      </w:r>
    </w:p>
    <w:p w14:paraId="3D41DCE6" w14:textId="77777777" w:rsidR="00AA6E2D" w:rsidRDefault="00AA6E2D">
      <w:pPr>
        <w:spacing w:after="0"/>
        <w:ind w:left="357"/>
        <w:jc w:val="both"/>
        <w:rPr>
          <w:rFonts w:ascii="Arial" w:hAnsi="Arial"/>
          <w:color w:val="000000"/>
        </w:rPr>
      </w:pPr>
    </w:p>
    <w:tbl>
      <w:tblPr>
        <w:tblStyle w:val="Tabelacomgrade"/>
        <w:tblW w:w="6414" w:type="dxa"/>
        <w:jc w:val="center"/>
        <w:tblCellMar>
          <w:left w:w="48" w:type="dxa"/>
        </w:tblCellMar>
        <w:tblLook w:val="04A0" w:firstRow="1" w:lastRow="0" w:firstColumn="1" w:lastColumn="0" w:noHBand="0" w:noVBand="1"/>
      </w:tblPr>
      <w:tblGrid>
        <w:gridCol w:w="3008"/>
        <w:gridCol w:w="3406"/>
      </w:tblGrid>
      <w:tr w:rsidR="00AA6E2D" w14:paraId="5E7111FB" w14:textId="77777777">
        <w:trPr>
          <w:jc w:val="center"/>
        </w:trPr>
        <w:tc>
          <w:tcPr>
            <w:tcW w:w="6413" w:type="dxa"/>
            <w:gridSpan w:val="2"/>
            <w:shd w:val="clear" w:color="auto" w:fill="auto"/>
            <w:tcMar>
              <w:left w:w="48" w:type="dxa"/>
            </w:tcMar>
          </w:tcPr>
          <w:p w14:paraId="22C443FD" w14:textId="77777777" w:rsidR="00AA6E2D" w:rsidRDefault="000648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hAnsi="Arial"/>
                <w:b/>
                <w:color w:val="000000"/>
              </w:rPr>
              <w:t>Concentrado de Plaquetas</w:t>
            </w:r>
          </w:p>
        </w:tc>
      </w:tr>
      <w:tr w:rsidR="00AA6E2D" w14:paraId="15A819A1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32CBB88E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Parâmetro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4C73E86A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Percentual de Conformidade</w:t>
            </w:r>
          </w:p>
        </w:tc>
      </w:tr>
      <w:tr w:rsidR="00AA6E2D" w14:paraId="6FDED2FF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6CEBF746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Volume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337A24B4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09524102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52517706" w14:textId="77777777" w:rsidR="00AA6E2D" w:rsidRDefault="0006480B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/>
                <w:color w:val="000000"/>
              </w:rPr>
              <w:t>Swirling</w:t>
            </w:r>
            <w:proofErr w:type="spellEnd"/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1A4FFAB9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0A3BE34F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3394AD3D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lastRenderedPageBreak/>
              <w:t>Contagem de Plaquetas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69C6C9E2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90%</w:t>
            </w:r>
          </w:p>
        </w:tc>
      </w:tr>
      <w:tr w:rsidR="00AA6E2D" w14:paraId="54379C1F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368BF902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pH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32DC9B1E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  <w:tr w:rsidR="00AA6E2D" w14:paraId="13E19B04" w14:textId="77777777">
        <w:trPr>
          <w:jc w:val="center"/>
        </w:trPr>
        <w:tc>
          <w:tcPr>
            <w:tcW w:w="3008" w:type="dxa"/>
            <w:shd w:val="clear" w:color="auto" w:fill="auto"/>
            <w:tcMar>
              <w:left w:w="48" w:type="dxa"/>
            </w:tcMar>
          </w:tcPr>
          <w:p w14:paraId="746D4360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Microbiológico</w:t>
            </w:r>
          </w:p>
        </w:tc>
        <w:tc>
          <w:tcPr>
            <w:tcW w:w="3405" w:type="dxa"/>
            <w:shd w:val="clear" w:color="auto" w:fill="auto"/>
            <w:tcMar>
              <w:left w:w="48" w:type="dxa"/>
            </w:tcMar>
          </w:tcPr>
          <w:p w14:paraId="1EBEAC38" w14:textId="77777777" w:rsidR="00AA6E2D" w:rsidRDefault="0006480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100%</w:t>
            </w:r>
          </w:p>
        </w:tc>
      </w:tr>
    </w:tbl>
    <w:p w14:paraId="5104A48B" w14:textId="77777777" w:rsidR="00AA6E2D" w:rsidRDefault="00AA6E2D">
      <w:pPr>
        <w:spacing w:after="0"/>
        <w:jc w:val="both"/>
        <w:rPr>
          <w:rFonts w:ascii="Arial" w:hAnsi="Arial"/>
          <w:color w:val="000000"/>
        </w:rPr>
      </w:pPr>
    </w:p>
    <w:p w14:paraId="3A295C43" w14:textId="77777777" w:rsidR="00AA6E2D" w:rsidRDefault="00AA6E2D">
      <w:pPr>
        <w:spacing w:after="0"/>
        <w:jc w:val="center"/>
        <w:rPr>
          <w:rFonts w:ascii="Arial" w:hAnsi="Arial"/>
          <w:color w:val="000000"/>
        </w:rPr>
      </w:pPr>
    </w:p>
    <w:p w14:paraId="5FC5422A" w14:textId="77777777" w:rsidR="00AA6E2D" w:rsidRDefault="0006480B">
      <w:pPr>
        <w:spacing w:after="0"/>
        <w:ind w:left="357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Resultado: Metas alcançadas</w:t>
      </w:r>
    </w:p>
    <w:p w14:paraId="2D883E91" w14:textId="77777777" w:rsidR="00AA6E2D" w:rsidRDefault="00AA6E2D">
      <w:pPr>
        <w:spacing w:after="0"/>
        <w:ind w:left="357"/>
        <w:jc w:val="both"/>
        <w:rPr>
          <w:b/>
        </w:rPr>
      </w:pPr>
    </w:p>
    <w:p w14:paraId="5ED51D6F" w14:textId="77777777" w:rsidR="00AA6E2D" w:rsidRDefault="0006480B">
      <w:pPr>
        <w:spacing w:after="0"/>
        <w:jc w:val="both"/>
      </w:pPr>
      <w:r>
        <w:rPr>
          <w:rFonts w:ascii="Arial" w:hAnsi="Arial"/>
          <w:b/>
          <w:bCs/>
          <w:color w:val="000000"/>
        </w:rPr>
        <w:t xml:space="preserve">1 - Descrição das atividades realizadas pelo Departamento de Vigilância em Saúde (DEVS) e Serviço Especializado em Engenharia de Segurança e </w:t>
      </w:r>
      <w:proofErr w:type="gramStart"/>
      <w:r>
        <w:rPr>
          <w:rFonts w:ascii="Arial" w:hAnsi="Arial"/>
          <w:b/>
          <w:bCs/>
          <w:color w:val="000000"/>
        </w:rPr>
        <w:t>em  Medicina</w:t>
      </w:r>
      <w:proofErr w:type="gramEnd"/>
      <w:r>
        <w:rPr>
          <w:rFonts w:ascii="Arial" w:hAnsi="Arial"/>
          <w:b/>
          <w:bCs/>
          <w:color w:val="000000"/>
        </w:rPr>
        <w:t xml:space="preserve"> do Trabalho (SESMT)</w:t>
      </w:r>
    </w:p>
    <w:p w14:paraId="30D72695" w14:textId="77777777" w:rsidR="00AA6E2D" w:rsidRDefault="0006480B">
      <w:pPr>
        <w:spacing w:after="0"/>
        <w:jc w:val="both"/>
      </w:pPr>
      <w:r>
        <w:rPr>
          <w:rFonts w:ascii="Arial" w:hAnsi="Arial"/>
          <w:b/>
          <w:bCs/>
          <w:color w:val="000000"/>
        </w:rPr>
        <w:tab/>
      </w:r>
    </w:p>
    <w:p w14:paraId="48EFF440" w14:textId="77777777" w:rsidR="00AA6E2D" w:rsidRDefault="0006480B">
      <w:pPr>
        <w:spacing w:after="0"/>
        <w:jc w:val="both"/>
      </w:pPr>
      <w:r>
        <w:rPr>
          <w:rFonts w:ascii="Arial" w:hAnsi="Arial"/>
          <w:b/>
          <w:bCs/>
          <w:color w:val="000000"/>
        </w:rPr>
        <w:t xml:space="preserve">1.1- DATA: 22/02/2019 - </w:t>
      </w:r>
      <w:r>
        <w:rPr>
          <w:rFonts w:ascii="Arial" w:hAnsi="Arial"/>
          <w:bCs/>
          <w:color w:val="000000"/>
        </w:rPr>
        <w:t>Controle de Pragas e Vetore</w:t>
      </w:r>
      <w:r>
        <w:rPr>
          <w:rFonts w:ascii="Arial" w:hAnsi="Arial"/>
          <w:bCs/>
          <w:color w:val="000000"/>
        </w:rPr>
        <w:t xml:space="preserve">s (dedetização e desratização) no Hemocentro Coordenador Estadual de Goiás Dr. </w:t>
      </w:r>
      <w:proofErr w:type="spellStart"/>
      <w:r>
        <w:rPr>
          <w:rFonts w:ascii="Arial" w:hAnsi="Arial"/>
          <w:bCs/>
          <w:color w:val="000000"/>
        </w:rPr>
        <w:t>Nion</w:t>
      </w:r>
      <w:proofErr w:type="spellEnd"/>
      <w:r>
        <w:rPr>
          <w:rFonts w:ascii="Arial" w:hAnsi="Arial"/>
          <w:bCs/>
          <w:color w:val="000000"/>
        </w:rPr>
        <w:t xml:space="preserve"> Albernaz </w:t>
      </w:r>
    </w:p>
    <w:p w14:paraId="387A1816" w14:textId="77777777" w:rsidR="00AA6E2D" w:rsidRDefault="00AA6E2D">
      <w:pPr>
        <w:spacing w:after="0"/>
        <w:ind w:left="357"/>
        <w:jc w:val="both"/>
        <w:rPr>
          <w:rFonts w:ascii="Arial" w:hAnsi="Arial"/>
          <w:b/>
          <w:bCs/>
          <w:color w:val="000000"/>
        </w:rPr>
      </w:pPr>
    </w:p>
    <w:p w14:paraId="3EFADFDB" w14:textId="77777777" w:rsidR="00AA6E2D" w:rsidRDefault="0006480B">
      <w:pPr>
        <w:spacing w:after="0"/>
        <w:ind w:left="357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 wp14:anchorId="3EA2E88D" wp14:editId="0AC04FA7">
            <wp:simplePos x="0" y="0"/>
            <wp:positionH relativeFrom="column">
              <wp:posOffset>20955</wp:posOffset>
            </wp:positionH>
            <wp:positionV relativeFrom="paragraph">
              <wp:posOffset>136525</wp:posOffset>
            </wp:positionV>
            <wp:extent cx="2009775" cy="267906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EBC78C3" wp14:editId="6F718211">
            <wp:simplePos x="0" y="0"/>
            <wp:positionH relativeFrom="column">
              <wp:posOffset>2160905</wp:posOffset>
            </wp:positionH>
            <wp:positionV relativeFrom="paragraph">
              <wp:posOffset>151765</wp:posOffset>
            </wp:positionV>
            <wp:extent cx="1997710" cy="266382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7097ACFA" wp14:editId="05D3D4C1">
            <wp:simplePos x="0" y="0"/>
            <wp:positionH relativeFrom="column">
              <wp:posOffset>4377055</wp:posOffset>
            </wp:positionH>
            <wp:positionV relativeFrom="paragraph">
              <wp:posOffset>133985</wp:posOffset>
            </wp:positionV>
            <wp:extent cx="1814830" cy="270764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6AA28F" w14:textId="77777777" w:rsidR="00AA6E2D" w:rsidRDefault="00AA6E2D">
      <w:pPr>
        <w:spacing w:after="0"/>
        <w:jc w:val="both"/>
        <w:rPr>
          <w:rFonts w:ascii="Arial" w:hAnsi="Arial"/>
          <w:b/>
          <w:bCs/>
        </w:rPr>
      </w:pPr>
    </w:p>
    <w:p w14:paraId="4AEB2529" w14:textId="77777777" w:rsidR="00AA6E2D" w:rsidRDefault="0006480B">
      <w:pPr>
        <w:tabs>
          <w:tab w:val="left" w:pos="709"/>
        </w:tabs>
        <w:spacing w:after="0"/>
        <w:ind w:hanging="57"/>
        <w:jc w:val="both"/>
      </w:pPr>
      <w:r>
        <w:rPr>
          <w:rFonts w:ascii="Arial" w:hAnsi="Arial"/>
          <w:b/>
          <w:bCs/>
        </w:rPr>
        <w:t xml:space="preserve">1.2 - DATA: </w:t>
      </w:r>
      <w:r>
        <w:rPr>
          <w:rFonts w:ascii="Arial" w:hAnsi="Arial"/>
          <w:b/>
          <w:bCs/>
          <w:color w:val="000000"/>
        </w:rPr>
        <w:t xml:space="preserve">22/02/2019 – </w:t>
      </w:r>
      <w:r>
        <w:rPr>
          <w:rFonts w:ascii="Arial" w:hAnsi="Arial"/>
          <w:bCs/>
          <w:color w:val="000000"/>
        </w:rPr>
        <w:t xml:space="preserve">Reunião Comissão Interna de Prevenção de Acidentes - CIPA/Hemocentro Coordenador Estadual de Goiás Dr. </w:t>
      </w:r>
      <w:proofErr w:type="spellStart"/>
      <w:r>
        <w:rPr>
          <w:rFonts w:ascii="Arial" w:hAnsi="Arial"/>
          <w:bCs/>
          <w:color w:val="000000"/>
        </w:rPr>
        <w:t>Nion</w:t>
      </w:r>
      <w:proofErr w:type="spellEnd"/>
      <w:r>
        <w:rPr>
          <w:rFonts w:ascii="Arial" w:hAnsi="Arial"/>
          <w:bCs/>
          <w:color w:val="000000"/>
        </w:rPr>
        <w:t xml:space="preserve"> </w:t>
      </w:r>
      <w:proofErr w:type="spellStart"/>
      <w:r>
        <w:rPr>
          <w:rFonts w:ascii="Arial" w:hAnsi="Arial"/>
          <w:bCs/>
          <w:color w:val="000000"/>
        </w:rPr>
        <w:t>Albenaz</w:t>
      </w:r>
      <w:proofErr w:type="spellEnd"/>
    </w:p>
    <w:p w14:paraId="39FD6E3C" w14:textId="77777777" w:rsidR="00AA6E2D" w:rsidRDefault="0006480B">
      <w:pPr>
        <w:tabs>
          <w:tab w:val="left" w:pos="709"/>
        </w:tabs>
        <w:spacing w:after="0"/>
        <w:ind w:hanging="57"/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Cs/>
          <w:noProof/>
          <w:color w:val="000000"/>
        </w:rPr>
        <w:drawing>
          <wp:anchor distT="0" distB="0" distL="0" distR="0" simplePos="0" relativeHeight="5" behindDoc="0" locked="0" layoutInCell="1" allowOverlap="1" wp14:anchorId="2A95B32D" wp14:editId="4C078EA1">
            <wp:simplePos x="0" y="0"/>
            <wp:positionH relativeFrom="column">
              <wp:posOffset>1150620</wp:posOffset>
            </wp:positionH>
            <wp:positionV relativeFrom="paragraph">
              <wp:posOffset>109855</wp:posOffset>
            </wp:positionV>
            <wp:extent cx="2898140" cy="2173605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7AD38E" w14:textId="77777777" w:rsidR="00AA6E2D" w:rsidRDefault="00AA6E2D">
      <w:pPr>
        <w:tabs>
          <w:tab w:val="left" w:pos="709"/>
        </w:tabs>
        <w:spacing w:after="0"/>
        <w:ind w:hanging="57"/>
        <w:jc w:val="both"/>
        <w:rPr>
          <w:rFonts w:ascii="Arial" w:hAnsi="Arial"/>
          <w:bCs/>
          <w:color w:val="000000"/>
        </w:rPr>
      </w:pPr>
    </w:p>
    <w:p w14:paraId="6512CDAB" w14:textId="77777777" w:rsidR="00AA6E2D" w:rsidRDefault="00AA6E2D">
      <w:pPr>
        <w:tabs>
          <w:tab w:val="left" w:pos="709"/>
        </w:tabs>
        <w:spacing w:after="0"/>
        <w:ind w:hanging="57"/>
        <w:jc w:val="both"/>
        <w:rPr>
          <w:rFonts w:ascii="Arial" w:hAnsi="Arial"/>
          <w:b/>
          <w:bCs/>
        </w:rPr>
      </w:pPr>
    </w:p>
    <w:p w14:paraId="1D690638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612057CD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30D53BED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7F68AE83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6DFBD95D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71CEB5B3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221D8A0B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62457EC4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1F1D1CF1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3AEC0711" w14:textId="77777777" w:rsidR="0006480B" w:rsidRDefault="0006480B">
      <w:pPr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</w:p>
    <w:p w14:paraId="0BD7F5E3" w14:textId="77777777" w:rsidR="00AA6E2D" w:rsidRDefault="0006480B">
      <w:pPr>
        <w:spacing w:after="0"/>
        <w:jc w:val="both"/>
      </w:pPr>
      <w:r>
        <w:rPr>
          <w:rFonts w:ascii="Arial" w:hAnsi="Arial"/>
          <w:b/>
          <w:bCs/>
        </w:rPr>
        <w:lastRenderedPageBreak/>
        <w:t xml:space="preserve">1.3- DATA: </w:t>
      </w:r>
      <w:r>
        <w:rPr>
          <w:rFonts w:ascii="Arial" w:hAnsi="Arial"/>
          <w:b/>
          <w:bCs/>
          <w:color w:val="000000"/>
        </w:rPr>
        <w:t>25/02 a 01/03/2019</w:t>
      </w:r>
      <w:r>
        <w:rPr>
          <w:rFonts w:ascii="Arial" w:hAnsi="Arial"/>
          <w:b/>
          <w:bCs/>
        </w:rPr>
        <w:t xml:space="preserve"> -</w:t>
      </w:r>
      <w:r>
        <w:rPr>
          <w:rFonts w:ascii="Arial" w:hAnsi="Arial"/>
          <w:b/>
          <w:bCs/>
          <w:color w:val="000000"/>
        </w:rPr>
        <w:t> </w:t>
      </w:r>
      <w:r>
        <w:rPr>
          <w:rFonts w:ascii="Arial" w:hAnsi="Arial"/>
          <w:bCs/>
          <w:color w:val="000000"/>
        </w:rPr>
        <w:t xml:space="preserve">Curso para </w:t>
      </w:r>
      <w:proofErr w:type="spellStart"/>
      <w:r>
        <w:rPr>
          <w:rFonts w:ascii="Arial" w:hAnsi="Arial"/>
          <w:bCs/>
          <w:color w:val="000000"/>
        </w:rPr>
        <w:t>cipeiros</w:t>
      </w:r>
      <w:proofErr w:type="spellEnd"/>
      <w:r>
        <w:rPr>
          <w:rFonts w:ascii="Arial" w:hAnsi="Arial"/>
          <w:bCs/>
          <w:color w:val="000000"/>
        </w:rPr>
        <w:t xml:space="preserve"> realizado pela Escola de Governo </w:t>
      </w:r>
      <w:proofErr w:type="spellStart"/>
      <w:r>
        <w:rPr>
          <w:rFonts w:ascii="Arial" w:hAnsi="Arial"/>
          <w:bCs/>
          <w:color w:val="000000"/>
        </w:rPr>
        <w:t>aosmembros</w:t>
      </w:r>
      <w:proofErr w:type="spellEnd"/>
      <w:r>
        <w:rPr>
          <w:rFonts w:ascii="Arial" w:hAnsi="Arial"/>
          <w:bCs/>
          <w:color w:val="000000"/>
        </w:rPr>
        <w:t xml:space="preserve"> da Comissão Interna de Prevenção de Acidentes CIPA gestão 2018/2020 do Hemocentro Coordenador Estadual de Goiás Dr. </w:t>
      </w:r>
      <w:proofErr w:type="spellStart"/>
      <w:r>
        <w:rPr>
          <w:rFonts w:ascii="Arial" w:hAnsi="Arial"/>
          <w:bCs/>
          <w:color w:val="000000"/>
        </w:rPr>
        <w:t>Nion</w:t>
      </w:r>
      <w:proofErr w:type="spellEnd"/>
      <w:r>
        <w:rPr>
          <w:rFonts w:ascii="Arial" w:hAnsi="Arial"/>
          <w:bCs/>
          <w:color w:val="000000"/>
        </w:rPr>
        <w:t xml:space="preserve"> </w:t>
      </w:r>
      <w:proofErr w:type="spellStart"/>
      <w:r>
        <w:rPr>
          <w:rFonts w:ascii="Arial" w:hAnsi="Arial"/>
          <w:bCs/>
          <w:color w:val="000000"/>
        </w:rPr>
        <w:t>Albenaz</w:t>
      </w:r>
      <w:proofErr w:type="spellEnd"/>
    </w:p>
    <w:p w14:paraId="7700CFB7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752D9FE8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725C6E01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5EF51DC3" w14:textId="77777777" w:rsidR="00AA6E2D" w:rsidRDefault="0006480B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0" distR="0" simplePos="0" relativeHeight="6" behindDoc="0" locked="0" layoutInCell="1" allowOverlap="1" wp14:anchorId="58F782B0" wp14:editId="2A5D8FBA">
            <wp:simplePos x="0" y="0"/>
            <wp:positionH relativeFrom="column">
              <wp:posOffset>1548765</wp:posOffset>
            </wp:positionH>
            <wp:positionV relativeFrom="paragraph">
              <wp:posOffset>156845</wp:posOffset>
            </wp:positionV>
            <wp:extent cx="2901315" cy="2176145"/>
            <wp:effectExtent l="0" t="0" r="0" b="0"/>
            <wp:wrapSquare wrapText="largest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83B65A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63F785D7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29D67FB8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24EE7DED" w14:textId="77777777" w:rsidR="00AA6E2D" w:rsidRDefault="00AA6E2D">
      <w:pPr>
        <w:spacing w:after="0"/>
        <w:jc w:val="center"/>
        <w:rPr>
          <w:rFonts w:ascii="Arial" w:hAnsi="Arial"/>
        </w:rPr>
      </w:pPr>
    </w:p>
    <w:p w14:paraId="6C61BCE5" w14:textId="77777777" w:rsidR="00AA6E2D" w:rsidRDefault="00AA6E2D">
      <w:pPr>
        <w:spacing w:after="0"/>
        <w:jc w:val="center"/>
      </w:pPr>
    </w:p>
    <w:p w14:paraId="7C988830" w14:textId="77777777" w:rsidR="00AA6E2D" w:rsidRDefault="00AA6E2D">
      <w:pPr>
        <w:tabs>
          <w:tab w:val="left" w:pos="2114"/>
        </w:tabs>
        <w:spacing w:after="0"/>
        <w:jc w:val="center"/>
      </w:pPr>
    </w:p>
    <w:p w14:paraId="02AD81F7" w14:textId="77777777" w:rsidR="00AA6E2D" w:rsidRDefault="00AA6E2D">
      <w:pPr>
        <w:spacing w:after="0"/>
        <w:jc w:val="center"/>
      </w:pPr>
    </w:p>
    <w:p w14:paraId="555FA331" w14:textId="77777777" w:rsidR="00AA6E2D" w:rsidRDefault="00AA6E2D">
      <w:pPr>
        <w:spacing w:after="0"/>
        <w:jc w:val="center"/>
      </w:pPr>
    </w:p>
    <w:p w14:paraId="51046D10" w14:textId="77777777" w:rsidR="00AA6E2D" w:rsidRDefault="00AA6E2D">
      <w:pPr>
        <w:spacing w:after="0"/>
        <w:jc w:val="center"/>
      </w:pPr>
    </w:p>
    <w:p w14:paraId="31D8DCA0" w14:textId="77777777" w:rsidR="00AA6E2D" w:rsidRDefault="00AA6E2D">
      <w:pPr>
        <w:spacing w:after="0"/>
        <w:jc w:val="center"/>
      </w:pPr>
    </w:p>
    <w:p w14:paraId="6794A97C" w14:textId="77777777" w:rsidR="00AA6E2D" w:rsidRDefault="00AA6E2D">
      <w:pPr>
        <w:spacing w:after="0"/>
        <w:jc w:val="center"/>
      </w:pPr>
    </w:p>
    <w:p w14:paraId="4D36DF33" w14:textId="77777777" w:rsidR="00AA6E2D" w:rsidRDefault="00AA6E2D">
      <w:pPr>
        <w:spacing w:after="0"/>
        <w:jc w:val="center"/>
      </w:pPr>
    </w:p>
    <w:p w14:paraId="4D1D899C" w14:textId="77777777" w:rsidR="00AA6E2D" w:rsidRDefault="00AA6E2D">
      <w:pPr>
        <w:spacing w:after="0"/>
        <w:jc w:val="center"/>
      </w:pPr>
    </w:p>
    <w:p w14:paraId="0134F699" w14:textId="77777777" w:rsidR="00AA6E2D" w:rsidRDefault="00AA6E2D">
      <w:pPr>
        <w:spacing w:after="0"/>
        <w:jc w:val="center"/>
      </w:pPr>
    </w:p>
    <w:p w14:paraId="67E505A6" w14:textId="77777777" w:rsidR="00AA6E2D" w:rsidRDefault="00AA6E2D">
      <w:pPr>
        <w:spacing w:after="0"/>
        <w:jc w:val="center"/>
      </w:pPr>
    </w:p>
    <w:p w14:paraId="5816A8BE" w14:textId="77777777" w:rsidR="00AA6E2D" w:rsidRDefault="00AA6E2D">
      <w:pPr>
        <w:spacing w:after="0"/>
        <w:jc w:val="center"/>
      </w:pPr>
    </w:p>
    <w:p w14:paraId="7854547E" w14:textId="77777777" w:rsidR="00AA6E2D" w:rsidRDefault="00AA6E2D">
      <w:pPr>
        <w:spacing w:after="0"/>
        <w:jc w:val="center"/>
      </w:pPr>
    </w:p>
    <w:p w14:paraId="563A4CF3" w14:textId="77777777" w:rsidR="00AA6E2D" w:rsidRDefault="00AA6E2D">
      <w:pPr>
        <w:spacing w:after="0"/>
        <w:jc w:val="center"/>
      </w:pPr>
    </w:p>
    <w:p w14:paraId="15A6E4C4" w14:textId="77777777" w:rsidR="00AA6E2D" w:rsidRDefault="00AA6E2D">
      <w:pPr>
        <w:spacing w:after="0"/>
        <w:jc w:val="center"/>
      </w:pPr>
    </w:p>
    <w:sectPr w:rsidR="00AA6E2D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10C7" w14:textId="77777777" w:rsidR="00000000" w:rsidRDefault="0006480B">
      <w:pPr>
        <w:spacing w:after="0" w:line="240" w:lineRule="auto"/>
      </w:pPr>
      <w:r>
        <w:separator/>
      </w:r>
    </w:p>
  </w:endnote>
  <w:endnote w:type="continuationSeparator" w:id="0">
    <w:p w14:paraId="3AA8E98D" w14:textId="77777777" w:rsidR="00000000" w:rsidRDefault="0006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154119"/>
      <w:docPartObj>
        <w:docPartGallery w:val="Page Numbers (Bottom of Page)"/>
        <w:docPartUnique/>
      </w:docPartObj>
    </w:sdtPr>
    <w:sdtEndPr/>
    <w:sdtContent>
      <w:p w14:paraId="3CF91B65" w14:textId="77777777" w:rsidR="00AA6E2D" w:rsidRDefault="0006480B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B9CBE32" w14:textId="77777777" w:rsidR="00AA6E2D" w:rsidRDefault="0006480B">
    <w:pPr>
      <w:pStyle w:val="NormalWeb"/>
      <w:pBdr>
        <w:top w:val="single" w:sz="4" w:space="0" w:color="000001"/>
      </w:pBdr>
      <w:spacing w:before="0" w:after="0"/>
      <w:jc w:val="center"/>
    </w:pPr>
    <w:r>
      <w:rPr>
        <w:rFonts w:ascii="Arial" w:hAnsi="Arial" w:cs="Arial"/>
        <w:sz w:val="12"/>
        <w:szCs w:val="12"/>
      </w:rPr>
      <w:t xml:space="preserve">Av. Anhanguera, 5.195 - Setor Coimbra – CEP 74.535-010 – Goiânia/GO – Fone: (62) 3201-4570 / 3201-4580. </w:t>
    </w:r>
    <w:r>
      <w:rPr>
        <w:rFonts w:ascii="Arial" w:hAnsi="Arial" w:cs="Arial"/>
        <w:i/>
        <w:iCs/>
        <w:sz w:val="12"/>
        <w:szCs w:val="12"/>
      </w:rPr>
      <w:t>E-mail</w:t>
    </w:r>
    <w:r>
      <w:rPr>
        <w:rFonts w:ascii="Arial" w:hAnsi="Arial" w:cs="Arial"/>
        <w:sz w:val="12"/>
        <w:szCs w:val="12"/>
      </w:rPr>
      <w:t>:hemocentro@saude.go.gov.br</w:t>
    </w:r>
  </w:p>
  <w:p w14:paraId="0739491A" w14:textId="77777777" w:rsidR="00AA6E2D" w:rsidRDefault="00AA6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5D059" w14:textId="77777777" w:rsidR="00000000" w:rsidRDefault="0006480B">
      <w:pPr>
        <w:spacing w:after="0" w:line="240" w:lineRule="auto"/>
      </w:pPr>
      <w:r>
        <w:separator/>
      </w:r>
    </w:p>
  </w:footnote>
  <w:footnote w:type="continuationSeparator" w:id="0">
    <w:p w14:paraId="3C528208" w14:textId="77777777" w:rsidR="00000000" w:rsidRDefault="0006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C985" w14:textId="77777777" w:rsidR="00AA6E2D" w:rsidRDefault="0006480B">
    <w:pPr>
      <w:pStyle w:val="Cabealho"/>
      <w:jc w:val="center"/>
    </w:pPr>
    <w:r>
      <w:rPr>
        <w:noProof/>
      </w:rPr>
      <w:drawing>
        <wp:inline distT="0" distB="0" distL="0" distR="0" wp14:anchorId="3A64710C" wp14:editId="3A51BC91">
          <wp:extent cx="6050280" cy="700405"/>
          <wp:effectExtent l="0" t="0" r="0" b="0"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D6B5C8" w14:textId="77777777" w:rsidR="00AA6E2D" w:rsidRDefault="00AA6E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43EB"/>
    <w:multiLevelType w:val="multilevel"/>
    <w:tmpl w:val="C2FCE9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757CBF"/>
    <w:multiLevelType w:val="multilevel"/>
    <w:tmpl w:val="E306E158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11A6"/>
    <w:multiLevelType w:val="multilevel"/>
    <w:tmpl w:val="865A9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67EFB"/>
    <w:multiLevelType w:val="multilevel"/>
    <w:tmpl w:val="54046F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0B67777"/>
    <w:multiLevelType w:val="multilevel"/>
    <w:tmpl w:val="E1C83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722369">
    <w:abstractNumId w:val="4"/>
  </w:num>
  <w:num w:numId="2" w16cid:durableId="201720972">
    <w:abstractNumId w:val="2"/>
  </w:num>
  <w:num w:numId="3" w16cid:durableId="46803200">
    <w:abstractNumId w:val="0"/>
  </w:num>
  <w:num w:numId="4" w16cid:durableId="1712343147">
    <w:abstractNumId w:val="1"/>
  </w:num>
  <w:num w:numId="5" w16cid:durableId="2002998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2D"/>
    <w:rsid w:val="0006480B"/>
    <w:rsid w:val="00A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9B3F"/>
  <w15:docId w15:val="{DF52FF0D-98F7-486F-BF10-757038F5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4E9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087CEB"/>
  </w:style>
  <w:style w:type="character" w:customStyle="1" w:styleId="RodapChar">
    <w:name w:val="Rodapé Char"/>
    <w:basedOn w:val="Fontepargpadro"/>
    <w:link w:val="Rodap"/>
    <w:uiPriority w:val="99"/>
    <w:rsid w:val="00087CEB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CE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53DE0"/>
    <w:rPr>
      <w:rFonts w:eastAsia="Calibri"/>
    </w:rPr>
  </w:style>
  <w:style w:type="character" w:customStyle="1" w:styleId="ListLabel2">
    <w:name w:val="ListLabel 2"/>
    <w:rsid w:val="00B53DE0"/>
    <w:rPr>
      <w:rFonts w:cs="Courier New"/>
    </w:rPr>
  </w:style>
  <w:style w:type="character" w:customStyle="1" w:styleId="ListLabel3">
    <w:name w:val="ListLabel 3"/>
    <w:rsid w:val="00B53DE0"/>
    <w:rPr>
      <w:rFonts w:cs="Symbol"/>
    </w:rPr>
  </w:style>
  <w:style w:type="character" w:customStyle="1" w:styleId="ListLabel4">
    <w:name w:val="ListLabel 4"/>
    <w:rsid w:val="00B53DE0"/>
    <w:rPr>
      <w:rFonts w:cs="Courier New"/>
    </w:rPr>
  </w:style>
  <w:style w:type="character" w:customStyle="1" w:styleId="ListLabel5">
    <w:name w:val="ListLabel 5"/>
    <w:rsid w:val="00B53DE0"/>
    <w:rPr>
      <w:rFonts w:cs="Wingdings"/>
    </w:rPr>
  </w:style>
  <w:style w:type="character" w:customStyle="1" w:styleId="ListLabel6">
    <w:name w:val="ListLabel 6"/>
    <w:rsid w:val="00B53DE0"/>
    <w:rPr>
      <w:rFonts w:cs="Symbol"/>
    </w:rPr>
  </w:style>
  <w:style w:type="character" w:customStyle="1" w:styleId="ListLabel7">
    <w:name w:val="ListLabel 7"/>
    <w:rsid w:val="00B53DE0"/>
    <w:rPr>
      <w:rFonts w:cs="Courier New"/>
    </w:rPr>
  </w:style>
  <w:style w:type="character" w:customStyle="1" w:styleId="ListLabel8">
    <w:name w:val="ListLabel 8"/>
    <w:rsid w:val="00B53DE0"/>
    <w:rPr>
      <w:rFonts w:cs="Wingdings"/>
    </w:rPr>
  </w:style>
  <w:style w:type="character" w:customStyle="1" w:styleId="Marcas">
    <w:name w:val="Marcas"/>
    <w:rsid w:val="00B53DE0"/>
    <w:rPr>
      <w:rFonts w:ascii="OpenSymbol" w:eastAsia="OpenSymbol" w:hAnsi="OpenSymbol" w:cs="OpenSymbol"/>
    </w:rPr>
  </w:style>
  <w:style w:type="character" w:customStyle="1" w:styleId="ListLabel9">
    <w:name w:val="ListLabel 9"/>
    <w:rsid w:val="00A75F4C"/>
    <w:rPr>
      <w:rFonts w:cs="Arial"/>
    </w:rPr>
  </w:style>
  <w:style w:type="character" w:customStyle="1" w:styleId="ListLabel10">
    <w:name w:val="ListLabel 10"/>
    <w:rsid w:val="00A75F4C"/>
    <w:rPr>
      <w:rFonts w:cs="Symbol"/>
    </w:rPr>
  </w:style>
  <w:style w:type="character" w:customStyle="1" w:styleId="ListLabel11">
    <w:name w:val="ListLabel 11"/>
    <w:rsid w:val="00A75F4C"/>
    <w:rPr>
      <w:rFonts w:cs="Courier New"/>
    </w:rPr>
  </w:style>
  <w:style w:type="character" w:customStyle="1" w:styleId="ListLabel12">
    <w:name w:val="ListLabel 12"/>
    <w:rsid w:val="00A75F4C"/>
    <w:rPr>
      <w:rFonts w:cs="Wingdings"/>
    </w:rPr>
  </w:style>
  <w:style w:type="character" w:customStyle="1" w:styleId="ListLabel13">
    <w:name w:val="ListLabel 13"/>
    <w:rsid w:val="00A75F4C"/>
    <w:rPr>
      <w:rFonts w:cs="Arial"/>
      <w:b/>
    </w:rPr>
  </w:style>
  <w:style w:type="character" w:customStyle="1" w:styleId="ListLabel14">
    <w:name w:val="ListLabel 14"/>
    <w:rsid w:val="00A75F4C"/>
    <w:rPr>
      <w:b/>
    </w:rPr>
  </w:style>
  <w:style w:type="character" w:customStyle="1" w:styleId="ListLabel15">
    <w:name w:val="ListLabel 15"/>
    <w:rsid w:val="00A75F4C"/>
    <w:rPr>
      <w:rFonts w:cs="Symbol"/>
    </w:rPr>
  </w:style>
  <w:style w:type="character" w:customStyle="1" w:styleId="ListLabel16">
    <w:name w:val="ListLabel 16"/>
    <w:rsid w:val="00A75F4C"/>
    <w:rPr>
      <w:rFonts w:cs="Courier New"/>
    </w:rPr>
  </w:style>
  <w:style w:type="character" w:customStyle="1" w:styleId="ListLabel17">
    <w:name w:val="ListLabel 17"/>
    <w:rsid w:val="00A75F4C"/>
    <w:rPr>
      <w:rFonts w:cs="Wingdings"/>
    </w:rPr>
  </w:style>
  <w:style w:type="character" w:customStyle="1" w:styleId="ListLabel18">
    <w:name w:val="ListLabel 18"/>
    <w:rsid w:val="00A75F4C"/>
    <w:rPr>
      <w:b/>
    </w:rPr>
  </w:style>
  <w:style w:type="character" w:customStyle="1" w:styleId="ListLabel19">
    <w:name w:val="ListLabel 19"/>
    <w:rsid w:val="00A75F4C"/>
    <w:rPr>
      <w:rFonts w:cs="Symbol"/>
    </w:rPr>
  </w:style>
  <w:style w:type="character" w:customStyle="1" w:styleId="ListLabel20">
    <w:name w:val="ListLabel 20"/>
    <w:rsid w:val="00A75F4C"/>
    <w:rPr>
      <w:rFonts w:cs="Courier New"/>
    </w:rPr>
  </w:style>
  <w:style w:type="character" w:customStyle="1" w:styleId="ListLabel21">
    <w:name w:val="ListLabel 21"/>
    <w:rsid w:val="00A75F4C"/>
    <w:rPr>
      <w:rFonts w:cs="Wingdings"/>
    </w:rPr>
  </w:style>
  <w:style w:type="character" w:customStyle="1" w:styleId="ListLabel22">
    <w:name w:val="ListLabel 22"/>
    <w:rsid w:val="00A75F4C"/>
    <w:rPr>
      <w:b/>
    </w:rPr>
  </w:style>
  <w:style w:type="character" w:customStyle="1" w:styleId="ListLabel23">
    <w:name w:val="ListLabel 23"/>
    <w:rsid w:val="00A75F4C"/>
    <w:rPr>
      <w:rFonts w:cs="Symbol"/>
    </w:rPr>
  </w:style>
  <w:style w:type="character" w:customStyle="1" w:styleId="ListLabel24">
    <w:name w:val="ListLabel 24"/>
    <w:rsid w:val="00A75F4C"/>
    <w:rPr>
      <w:rFonts w:cs="Courier New"/>
    </w:rPr>
  </w:style>
  <w:style w:type="character" w:customStyle="1" w:styleId="ListLabel25">
    <w:name w:val="ListLabel 25"/>
    <w:rsid w:val="00A75F4C"/>
    <w:rPr>
      <w:rFonts w:cs="Wingdings"/>
    </w:rPr>
  </w:style>
  <w:style w:type="character" w:customStyle="1" w:styleId="ListLabel26">
    <w:name w:val="ListLabel 26"/>
    <w:rsid w:val="00A75F4C"/>
    <w:rPr>
      <w:b/>
    </w:rPr>
  </w:style>
  <w:style w:type="character" w:customStyle="1" w:styleId="ListLabel27">
    <w:name w:val="ListLabel 27"/>
    <w:rsid w:val="00A75F4C"/>
    <w:rPr>
      <w:rFonts w:cs="Symbol"/>
    </w:rPr>
  </w:style>
  <w:style w:type="character" w:customStyle="1" w:styleId="ListLabel28">
    <w:name w:val="ListLabel 28"/>
    <w:rsid w:val="00A75F4C"/>
    <w:rPr>
      <w:rFonts w:cs="Courier New"/>
    </w:rPr>
  </w:style>
  <w:style w:type="character" w:customStyle="1" w:styleId="ListLabel29">
    <w:name w:val="ListLabel 29"/>
    <w:rsid w:val="00A75F4C"/>
    <w:rPr>
      <w:rFonts w:cs="Wingdings"/>
    </w:rPr>
  </w:style>
  <w:style w:type="character" w:customStyle="1" w:styleId="ListLabel30">
    <w:name w:val="ListLabel 30"/>
    <w:rsid w:val="00A75F4C"/>
    <w:rPr>
      <w:b/>
    </w:rPr>
  </w:style>
  <w:style w:type="character" w:customStyle="1" w:styleId="ListLabel31">
    <w:name w:val="ListLabel 31"/>
    <w:rsid w:val="00A75F4C"/>
    <w:rPr>
      <w:rFonts w:cs="Symbol"/>
    </w:rPr>
  </w:style>
  <w:style w:type="character" w:customStyle="1" w:styleId="ListLabel32">
    <w:name w:val="ListLabel 32"/>
    <w:rsid w:val="00A75F4C"/>
    <w:rPr>
      <w:rFonts w:cs="Courier New"/>
    </w:rPr>
  </w:style>
  <w:style w:type="character" w:customStyle="1" w:styleId="ListLabel33">
    <w:name w:val="ListLabel 33"/>
    <w:rsid w:val="00A75F4C"/>
    <w:rPr>
      <w:rFonts w:cs="Wingdings"/>
    </w:rPr>
  </w:style>
  <w:style w:type="character" w:customStyle="1" w:styleId="ListLabel34">
    <w:name w:val="ListLabel 34"/>
    <w:rsid w:val="00A75F4C"/>
    <w:rPr>
      <w:b/>
    </w:rPr>
  </w:style>
  <w:style w:type="character" w:customStyle="1" w:styleId="ListLabel35">
    <w:name w:val="ListLabel 35"/>
    <w:rsid w:val="009B0176"/>
    <w:rPr>
      <w:rFonts w:cs="Symbol"/>
    </w:rPr>
  </w:style>
  <w:style w:type="character" w:customStyle="1" w:styleId="ListLabel36">
    <w:name w:val="ListLabel 36"/>
    <w:rsid w:val="009B0176"/>
    <w:rPr>
      <w:rFonts w:cs="Courier New"/>
    </w:rPr>
  </w:style>
  <w:style w:type="character" w:customStyle="1" w:styleId="ListLabel37">
    <w:name w:val="ListLabel 37"/>
    <w:rsid w:val="009B0176"/>
    <w:rPr>
      <w:rFonts w:cs="Wingdings"/>
    </w:rPr>
  </w:style>
  <w:style w:type="character" w:customStyle="1" w:styleId="ListLabel38">
    <w:name w:val="ListLabel 38"/>
    <w:rsid w:val="009B0176"/>
    <w:rPr>
      <w:b/>
    </w:rPr>
  </w:style>
  <w:style w:type="character" w:customStyle="1" w:styleId="LinkdaInternet">
    <w:name w:val="Link da Internet"/>
    <w:rsid w:val="009B0176"/>
    <w:rPr>
      <w:color w:val="000080"/>
      <w:u w:val="single"/>
      <w:lang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b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b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b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B53DE0"/>
    <w:pPr>
      <w:spacing w:after="140" w:line="288" w:lineRule="auto"/>
    </w:pPr>
  </w:style>
  <w:style w:type="paragraph" w:styleId="Lista">
    <w:name w:val="List"/>
    <w:basedOn w:val="Corpodotexto"/>
    <w:rsid w:val="00B53DE0"/>
    <w:rPr>
      <w:rFonts w:cs="Mangal"/>
    </w:rPr>
  </w:style>
  <w:style w:type="paragraph" w:styleId="Legenda">
    <w:name w:val="caption"/>
    <w:basedOn w:val="Normal"/>
    <w:rsid w:val="00B53D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53DE0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rsid w:val="00B53D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417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87CE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87CE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7C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7CE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17F8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95E0-F1B5-4E62-BD8E-2EE158DF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1609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kellyngtonfm</dc:creator>
  <cp:lastModifiedBy>Milena Monteiro</cp:lastModifiedBy>
  <cp:revision>2</cp:revision>
  <cp:lastPrinted>2023-04-27T16:31:00Z</cp:lastPrinted>
  <dcterms:created xsi:type="dcterms:W3CDTF">2023-04-27T16:32:00Z</dcterms:created>
  <dcterms:modified xsi:type="dcterms:W3CDTF">2023-04-27T16:32:00Z</dcterms:modified>
  <dc:language>pt-BR</dc:language>
</cp:coreProperties>
</file>